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21" w:rsidRDefault="00207421" w:rsidP="007C725D">
      <w:pPr>
        <w:pStyle w:val="Overskrift1"/>
        <w:numPr>
          <w:ilvl w:val="0"/>
          <w:numId w:val="0"/>
        </w:numPr>
        <w:ind w:left="432"/>
        <w:rPr>
          <w:b w:val="0"/>
          <w:sz w:val="36"/>
          <w:szCs w:val="36"/>
        </w:rPr>
      </w:pPr>
      <w:bookmarkStart w:id="0" w:name="_Toc288049168"/>
      <w:bookmarkStart w:id="1" w:name="_Toc245283868"/>
    </w:p>
    <w:bookmarkEnd w:id="0"/>
    <w:p w:rsidR="004A36B1" w:rsidRPr="004A36B1" w:rsidRDefault="00961ACC" w:rsidP="004A36B1">
      <w:pPr>
        <w:sectPr w:rsidR="004A36B1" w:rsidRPr="004A36B1" w:rsidSect="003B2C1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pPr>
      <w:r>
        <w:rPr>
          <w:noProof/>
          <w:lang w:eastAsia="nb-NO"/>
        </w:rPr>
        <w:drawing>
          <wp:inline distT="0" distB="0" distL="0" distR="0">
            <wp:extent cx="5760720" cy="815086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ar3rapport-forside.png"/>
                    <pic:cNvPicPr/>
                  </pic:nvPicPr>
                  <pic:blipFill>
                    <a:blip r:embed="rId15">
                      <a:extLst>
                        <a:ext uri="{28A0092B-C50C-407E-A947-70E740481C1C}">
                          <a14:useLocalDpi xmlns:a14="http://schemas.microsoft.com/office/drawing/2010/main" val="0"/>
                        </a:ext>
                      </a:extLst>
                    </a:blip>
                    <a:stretch>
                      <a:fillRect/>
                    </a:stretch>
                  </pic:blipFill>
                  <pic:spPr>
                    <a:xfrm>
                      <a:off x="0" y="0"/>
                      <a:ext cx="5760720" cy="8150860"/>
                    </a:xfrm>
                    <a:prstGeom prst="rect">
                      <a:avLst/>
                    </a:prstGeom>
                  </pic:spPr>
                </pic:pic>
              </a:graphicData>
            </a:graphic>
          </wp:inline>
        </w:drawing>
      </w:r>
    </w:p>
    <w:p w:rsidR="009F5A14" w:rsidRDefault="009F5A14" w:rsidP="00990457"/>
    <w:p w:rsidR="004A576F" w:rsidRDefault="004A576F">
      <w:pPr>
        <w:pStyle w:val="INNH1"/>
      </w:pPr>
    </w:p>
    <w:p w:rsidR="004A576F" w:rsidRDefault="004A576F">
      <w:pPr>
        <w:pStyle w:val="INNH1"/>
      </w:pPr>
    </w:p>
    <w:p w:rsidR="00532E60" w:rsidRDefault="007A5301">
      <w:pPr>
        <w:pStyle w:val="INNH1"/>
        <w:rPr>
          <w:rFonts w:asciiTheme="minorHAnsi" w:eastAsiaTheme="minorEastAsia" w:hAnsiTheme="minorHAnsi"/>
          <w:sz w:val="22"/>
          <w:lang w:eastAsia="nb-NO"/>
        </w:rPr>
      </w:pPr>
      <w:r>
        <w:fldChar w:fldCharType="begin"/>
      </w:r>
      <w:r w:rsidR="00810EAD">
        <w:instrText xml:space="preserve"> TOC \o "1-3" \h \z \u </w:instrText>
      </w:r>
      <w:r>
        <w:fldChar w:fldCharType="separate"/>
      </w:r>
      <w:hyperlink w:anchor="_Toc387671266" w:history="1">
        <w:r w:rsidR="00532E60" w:rsidRPr="00F12C3D">
          <w:rPr>
            <w:rStyle w:val="Hyperkobling"/>
          </w:rPr>
          <w:t>1</w:t>
        </w:r>
        <w:r w:rsidR="00532E60">
          <w:rPr>
            <w:rFonts w:asciiTheme="minorHAnsi" w:eastAsiaTheme="minorEastAsia" w:hAnsiTheme="minorHAnsi"/>
            <w:sz w:val="22"/>
            <w:lang w:eastAsia="nb-NO"/>
          </w:rPr>
          <w:tab/>
        </w:r>
        <w:r w:rsidR="00532E60" w:rsidRPr="00F12C3D">
          <w:rPr>
            <w:rStyle w:val="Hyperkobling"/>
          </w:rPr>
          <w:t>Innledning</w:t>
        </w:r>
        <w:r w:rsidR="00532E60">
          <w:rPr>
            <w:webHidden/>
          </w:rPr>
          <w:tab/>
        </w:r>
        <w:r w:rsidR="00532E60">
          <w:rPr>
            <w:webHidden/>
          </w:rPr>
          <w:fldChar w:fldCharType="begin"/>
        </w:r>
        <w:r w:rsidR="00532E60">
          <w:rPr>
            <w:webHidden/>
          </w:rPr>
          <w:instrText xml:space="preserve"> PAGEREF _Toc387671266 \h </w:instrText>
        </w:r>
        <w:r w:rsidR="00532E60">
          <w:rPr>
            <w:webHidden/>
          </w:rPr>
        </w:r>
        <w:r w:rsidR="00532E60">
          <w:rPr>
            <w:webHidden/>
          </w:rPr>
          <w:fldChar w:fldCharType="separate"/>
        </w:r>
        <w:r w:rsidR="00532E60">
          <w:rPr>
            <w:webHidden/>
          </w:rPr>
          <w:t>1</w:t>
        </w:r>
        <w:r w:rsidR="00532E60">
          <w:rPr>
            <w:webHidden/>
          </w:rPr>
          <w:fldChar w:fldCharType="end"/>
        </w:r>
      </w:hyperlink>
    </w:p>
    <w:p w:rsidR="00532E60" w:rsidRDefault="00E42F82">
      <w:pPr>
        <w:pStyle w:val="INNH1"/>
        <w:rPr>
          <w:rFonts w:asciiTheme="minorHAnsi" w:eastAsiaTheme="minorEastAsia" w:hAnsiTheme="minorHAnsi"/>
          <w:sz w:val="22"/>
          <w:lang w:eastAsia="nb-NO"/>
        </w:rPr>
      </w:pPr>
      <w:hyperlink w:anchor="_Toc387671267" w:history="1">
        <w:r w:rsidR="00532E60" w:rsidRPr="00F12C3D">
          <w:rPr>
            <w:rStyle w:val="Hyperkobling"/>
          </w:rPr>
          <w:t>2</w:t>
        </w:r>
        <w:r w:rsidR="00532E60">
          <w:rPr>
            <w:rFonts w:asciiTheme="minorHAnsi" w:eastAsiaTheme="minorEastAsia" w:hAnsiTheme="minorHAnsi"/>
            <w:sz w:val="22"/>
            <w:lang w:eastAsia="nb-NO"/>
          </w:rPr>
          <w:tab/>
        </w:r>
        <w:r w:rsidR="00532E60" w:rsidRPr="00F12C3D">
          <w:rPr>
            <w:rStyle w:val="Hyperkobling"/>
          </w:rPr>
          <w:t>Ansvarlig kapital og kapitalkrav</w:t>
        </w:r>
        <w:r w:rsidR="00532E60">
          <w:rPr>
            <w:webHidden/>
          </w:rPr>
          <w:tab/>
        </w:r>
        <w:r w:rsidR="00532E60">
          <w:rPr>
            <w:webHidden/>
          </w:rPr>
          <w:fldChar w:fldCharType="begin"/>
        </w:r>
        <w:r w:rsidR="00532E60">
          <w:rPr>
            <w:webHidden/>
          </w:rPr>
          <w:instrText xml:space="preserve"> PAGEREF _Toc387671267 \h </w:instrText>
        </w:r>
        <w:r w:rsidR="00532E60">
          <w:rPr>
            <w:webHidden/>
          </w:rPr>
        </w:r>
        <w:r w:rsidR="00532E60">
          <w:rPr>
            <w:webHidden/>
          </w:rPr>
          <w:fldChar w:fldCharType="separate"/>
        </w:r>
        <w:r w:rsidR="00532E60">
          <w:rPr>
            <w:webHidden/>
          </w:rPr>
          <w:t>2</w:t>
        </w:r>
        <w:r w:rsidR="00532E60">
          <w:rPr>
            <w:webHidden/>
          </w:rPr>
          <w:fldChar w:fldCharType="end"/>
        </w:r>
      </w:hyperlink>
    </w:p>
    <w:p w:rsidR="00532E60" w:rsidRDefault="00E42F82">
      <w:pPr>
        <w:pStyle w:val="INNH2"/>
        <w:rPr>
          <w:rFonts w:asciiTheme="minorHAnsi" w:hAnsiTheme="minorHAnsi"/>
          <w:noProof/>
          <w:sz w:val="22"/>
          <w:lang w:eastAsia="nb-NO"/>
        </w:rPr>
      </w:pPr>
      <w:hyperlink w:anchor="_Toc387671268" w:history="1">
        <w:r w:rsidR="00532E60" w:rsidRPr="00F12C3D">
          <w:rPr>
            <w:rStyle w:val="Hyperkobling"/>
            <w:noProof/>
          </w:rPr>
          <w:t>2.1</w:t>
        </w:r>
        <w:r w:rsidR="00532E60">
          <w:rPr>
            <w:rFonts w:asciiTheme="minorHAnsi" w:hAnsiTheme="minorHAnsi"/>
            <w:noProof/>
            <w:sz w:val="22"/>
            <w:lang w:eastAsia="nb-NO"/>
          </w:rPr>
          <w:tab/>
        </w:r>
        <w:r w:rsidR="00532E60" w:rsidRPr="00F12C3D">
          <w:rPr>
            <w:rStyle w:val="Hyperkobling"/>
            <w:noProof/>
          </w:rPr>
          <w:t>Konsolidering</w:t>
        </w:r>
        <w:r w:rsidR="00532E60">
          <w:rPr>
            <w:noProof/>
            <w:webHidden/>
          </w:rPr>
          <w:tab/>
        </w:r>
        <w:r w:rsidR="00532E60">
          <w:rPr>
            <w:noProof/>
            <w:webHidden/>
          </w:rPr>
          <w:fldChar w:fldCharType="begin"/>
        </w:r>
        <w:r w:rsidR="00532E60">
          <w:rPr>
            <w:noProof/>
            <w:webHidden/>
          </w:rPr>
          <w:instrText xml:space="preserve"> PAGEREF _Toc387671268 \h </w:instrText>
        </w:r>
        <w:r w:rsidR="00532E60">
          <w:rPr>
            <w:noProof/>
            <w:webHidden/>
          </w:rPr>
        </w:r>
        <w:r w:rsidR="00532E60">
          <w:rPr>
            <w:noProof/>
            <w:webHidden/>
          </w:rPr>
          <w:fldChar w:fldCharType="separate"/>
        </w:r>
        <w:r w:rsidR="00532E60">
          <w:rPr>
            <w:noProof/>
            <w:webHidden/>
          </w:rPr>
          <w:t>2</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69" w:history="1">
        <w:r w:rsidR="00532E60" w:rsidRPr="00F12C3D">
          <w:rPr>
            <w:rStyle w:val="Hyperkobling"/>
            <w:rFonts w:cstheme="majorBidi"/>
            <w:noProof/>
          </w:rPr>
          <w:t>2.2</w:t>
        </w:r>
        <w:r w:rsidR="00532E60">
          <w:rPr>
            <w:rFonts w:asciiTheme="minorHAnsi" w:hAnsiTheme="minorHAnsi"/>
            <w:noProof/>
            <w:sz w:val="22"/>
            <w:lang w:eastAsia="nb-NO"/>
          </w:rPr>
          <w:tab/>
        </w:r>
        <w:r w:rsidR="00532E60" w:rsidRPr="00F12C3D">
          <w:rPr>
            <w:rStyle w:val="Hyperkobling"/>
            <w:noProof/>
          </w:rPr>
          <w:t>Kapitaldekning</w:t>
        </w:r>
        <w:r w:rsidR="00532E60">
          <w:rPr>
            <w:noProof/>
            <w:webHidden/>
          </w:rPr>
          <w:tab/>
        </w:r>
        <w:r w:rsidR="00532E60">
          <w:rPr>
            <w:noProof/>
            <w:webHidden/>
          </w:rPr>
          <w:fldChar w:fldCharType="begin"/>
        </w:r>
        <w:r w:rsidR="00532E60">
          <w:rPr>
            <w:noProof/>
            <w:webHidden/>
          </w:rPr>
          <w:instrText xml:space="preserve"> PAGEREF _Toc387671269 \h </w:instrText>
        </w:r>
        <w:r w:rsidR="00532E60">
          <w:rPr>
            <w:noProof/>
            <w:webHidden/>
          </w:rPr>
        </w:r>
        <w:r w:rsidR="00532E60">
          <w:rPr>
            <w:noProof/>
            <w:webHidden/>
          </w:rPr>
          <w:fldChar w:fldCharType="separate"/>
        </w:r>
        <w:r w:rsidR="00532E60">
          <w:rPr>
            <w:noProof/>
            <w:webHidden/>
          </w:rPr>
          <w:t>3</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70" w:history="1">
        <w:r w:rsidR="00532E60" w:rsidRPr="00F12C3D">
          <w:rPr>
            <w:rStyle w:val="Hyperkobling"/>
            <w:noProof/>
          </w:rPr>
          <w:t>2.3</w:t>
        </w:r>
        <w:r w:rsidR="00532E60">
          <w:rPr>
            <w:rFonts w:asciiTheme="minorHAnsi" w:hAnsiTheme="minorHAnsi"/>
            <w:noProof/>
            <w:sz w:val="22"/>
            <w:lang w:eastAsia="nb-NO"/>
          </w:rPr>
          <w:tab/>
        </w:r>
        <w:r w:rsidR="00532E60" w:rsidRPr="00F12C3D">
          <w:rPr>
            <w:rStyle w:val="Hyperkobling"/>
            <w:noProof/>
          </w:rPr>
          <w:t>Kapitalkrav (Pilar I – regulatorisk kapital)</w:t>
        </w:r>
        <w:r w:rsidR="00532E60">
          <w:rPr>
            <w:noProof/>
            <w:webHidden/>
          </w:rPr>
          <w:tab/>
        </w:r>
        <w:r w:rsidR="00532E60">
          <w:rPr>
            <w:noProof/>
            <w:webHidden/>
          </w:rPr>
          <w:fldChar w:fldCharType="begin"/>
        </w:r>
        <w:r w:rsidR="00532E60">
          <w:rPr>
            <w:noProof/>
            <w:webHidden/>
          </w:rPr>
          <w:instrText xml:space="preserve"> PAGEREF _Toc387671270 \h </w:instrText>
        </w:r>
        <w:r w:rsidR="00532E60">
          <w:rPr>
            <w:noProof/>
            <w:webHidden/>
          </w:rPr>
        </w:r>
        <w:r w:rsidR="00532E60">
          <w:rPr>
            <w:noProof/>
            <w:webHidden/>
          </w:rPr>
          <w:fldChar w:fldCharType="separate"/>
        </w:r>
        <w:r w:rsidR="00532E60">
          <w:rPr>
            <w:noProof/>
            <w:webHidden/>
          </w:rPr>
          <w:t>5</w:t>
        </w:r>
        <w:r w:rsidR="00532E60">
          <w:rPr>
            <w:noProof/>
            <w:webHidden/>
          </w:rPr>
          <w:fldChar w:fldCharType="end"/>
        </w:r>
      </w:hyperlink>
    </w:p>
    <w:p w:rsidR="00532E60" w:rsidRDefault="00E42F82">
      <w:pPr>
        <w:pStyle w:val="INNH3"/>
        <w:tabs>
          <w:tab w:val="left" w:pos="1100"/>
          <w:tab w:val="right" w:leader="dot" w:pos="9062"/>
        </w:tabs>
        <w:rPr>
          <w:rFonts w:asciiTheme="minorHAnsi" w:hAnsiTheme="minorHAnsi"/>
          <w:noProof/>
          <w:sz w:val="22"/>
          <w:lang w:eastAsia="nb-NO"/>
        </w:rPr>
      </w:pPr>
      <w:hyperlink w:anchor="_Toc387671271" w:history="1">
        <w:r w:rsidR="00532E60" w:rsidRPr="00F12C3D">
          <w:rPr>
            <w:rStyle w:val="Hyperkobling"/>
            <w:noProof/>
          </w:rPr>
          <w:t>2.3.2</w:t>
        </w:r>
        <w:r w:rsidR="00532E60">
          <w:rPr>
            <w:rFonts w:asciiTheme="minorHAnsi" w:hAnsiTheme="minorHAnsi"/>
            <w:noProof/>
            <w:sz w:val="22"/>
            <w:lang w:eastAsia="nb-NO"/>
          </w:rPr>
          <w:tab/>
        </w:r>
        <w:r w:rsidR="00532E60" w:rsidRPr="00F12C3D">
          <w:rPr>
            <w:rStyle w:val="Hyperkobling"/>
            <w:noProof/>
          </w:rPr>
          <w:t>Kapitaldekning</w:t>
        </w:r>
        <w:r w:rsidR="00532E60">
          <w:rPr>
            <w:noProof/>
            <w:webHidden/>
          </w:rPr>
          <w:tab/>
        </w:r>
        <w:r w:rsidR="00532E60">
          <w:rPr>
            <w:noProof/>
            <w:webHidden/>
          </w:rPr>
          <w:fldChar w:fldCharType="begin"/>
        </w:r>
        <w:r w:rsidR="00532E60">
          <w:rPr>
            <w:noProof/>
            <w:webHidden/>
          </w:rPr>
          <w:instrText xml:space="preserve"> PAGEREF _Toc387671271 \h </w:instrText>
        </w:r>
        <w:r w:rsidR="00532E60">
          <w:rPr>
            <w:noProof/>
            <w:webHidden/>
          </w:rPr>
        </w:r>
        <w:r w:rsidR="00532E60">
          <w:rPr>
            <w:noProof/>
            <w:webHidden/>
          </w:rPr>
          <w:fldChar w:fldCharType="separate"/>
        </w:r>
        <w:r w:rsidR="00532E60">
          <w:rPr>
            <w:noProof/>
            <w:webHidden/>
          </w:rPr>
          <w:t>6</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72" w:history="1">
        <w:r w:rsidR="00532E60" w:rsidRPr="00F12C3D">
          <w:rPr>
            <w:rStyle w:val="Hyperkobling"/>
            <w:noProof/>
          </w:rPr>
          <w:t>2.4</w:t>
        </w:r>
        <w:r w:rsidR="00532E60">
          <w:rPr>
            <w:rFonts w:asciiTheme="minorHAnsi" w:hAnsiTheme="minorHAnsi"/>
            <w:noProof/>
            <w:sz w:val="22"/>
            <w:lang w:eastAsia="nb-NO"/>
          </w:rPr>
          <w:tab/>
        </w:r>
        <w:r w:rsidR="00532E60" w:rsidRPr="00F12C3D">
          <w:rPr>
            <w:rStyle w:val="Hyperkobling"/>
            <w:noProof/>
          </w:rPr>
          <w:t>Endringer i rammevilkår – Basel III</w:t>
        </w:r>
        <w:r w:rsidR="00532E60">
          <w:rPr>
            <w:noProof/>
            <w:webHidden/>
          </w:rPr>
          <w:tab/>
        </w:r>
        <w:r w:rsidR="00532E60">
          <w:rPr>
            <w:noProof/>
            <w:webHidden/>
          </w:rPr>
          <w:fldChar w:fldCharType="begin"/>
        </w:r>
        <w:r w:rsidR="00532E60">
          <w:rPr>
            <w:noProof/>
            <w:webHidden/>
          </w:rPr>
          <w:instrText xml:space="preserve"> PAGEREF _Toc387671272 \h </w:instrText>
        </w:r>
        <w:r w:rsidR="00532E60">
          <w:rPr>
            <w:noProof/>
            <w:webHidden/>
          </w:rPr>
        </w:r>
        <w:r w:rsidR="00532E60">
          <w:rPr>
            <w:noProof/>
            <w:webHidden/>
          </w:rPr>
          <w:fldChar w:fldCharType="separate"/>
        </w:r>
        <w:r w:rsidR="00532E60">
          <w:rPr>
            <w:noProof/>
            <w:webHidden/>
          </w:rPr>
          <w:t>7</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73" w:history="1">
        <w:r w:rsidR="00532E60" w:rsidRPr="00F12C3D">
          <w:rPr>
            <w:rStyle w:val="Hyperkobling"/>
            <w:noProof/>
          </w:rPr>
          <w:t>2.5</w:t>
        </w:r>
        <w:r w:rsidR="00532E60">
          <w:rPr>
            <w:rFonts w:asciiTheme="minorHAnsi" w:hAnsiTheme="minorHAnsi"/>
            <w:noProof/>
            <w:sz w:val="22"/>
            <w:lang w:eastAsia="nb-NO"/>
          </w:rPr>
          <w:tab/>
        </w:r>
        <w:r w:rsidR="00532E60" w:rsidRPr="00F12C3D">
          <w:rPr>
            <w:rStyle w:val="Hyperkobling"/>
            <w:noProof/>
          </w:rPr>
          <w:t>Pilar 2 – Egenvurdering av risiko og kapital</w:t>
        </w:r>
        <w:r w:rsidR="00532E60">
          <w:rPr>
            <w:noProof/>
            <w:webHidden/>
          </w:rPr>
          <w:tab/>
        </w:r>
        <w:r w:rsidR="00532E60">
          <w:rPr>
            <w:noProof/>
            <w:webHidden/>
          </w:rPr>
          <w:fldChar w:fldCharType="begin"/>
        </w:r>
        <w:r w:rsidR="00532E60">
          <w:rPr>
            <w:noProof/>
            <w:webHidden/>
          </w:rPr>
          <w:instrText xml:space="preserve"> PAGEREF _Toc387671273 \h </w:instrText>
        </w:r>
        <w:r w:rsidR="00532E60">
          <w:rPr>
            <w:noProof/>
            <w:webHidden/>
          </w:rPr>
        </w:r>
        <w:r w:rsidR="00532E60">
          <w:rPr>
            <w:noProof/>
            <w:webHidden/>
          </w:rPr>
          <w:fldChar w:fldCharType="separate"/>
        </w:r>
        <w:r w:rsidR="00532E60">
          <w:rPr>
            <w:noProof/>
            <w:webHidden/>
          </w:rPr>
          <w:t>9</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74" w:history="1">
        <w:r w:rsidR="00532E60" w:rsidRPr="00F12C3D">
          <w:rPr>
            <w:rStyle w:val="Hyperkobling"/>
            <w:noProof/>
          </w:rPr>
          <w:t>2.6</w:t>
        </w:r>
        <w:r w:rsidR="00532E60">
          <w:rPr>
            <w:rFonts w:asciiTheme="minorHAnsi" w:hAnsiTheme="minorHAnsi"/>
            <w:noProof/>
            <w:sz w:val="22"/>
            <w:lang w:eastAsia="nb-NO"/>
          </w:rPr>
          <w:tab/>
        </w:r>
        <w:r w:rsidR="00532E60" w:rsidRPr="00F12C3D">
          <w:rPr>
            <w:rStyle w:val="Hyperkobling"/>
            <w:noProof/>
          </w:rPr>
          <w:t>Pilar 3 – Offentliggjøring av finansiell informasjon</w:t>
        </w:r>
        <w:r w:rsidR="00532E60">
          <w:rPr>
            <w:noProof/>
            <w:webHidden/>
          </w:rPr>
          <w:tab/>
        </w:r>
        <w:r w:rsidR="00532E60">
          <w:rPr>
            <w:noProof/>
            <w:webHidden/>
          </w:rPr>
          <w:fldChar w:fldCharType="begin"/>
        </w:r>
        <w:r w:rsidR="00532E60">
          <w:rPr>
            <w:noProof/>
            <w:webHidden/>
          </w:rPr>
          <w:instrText xml:space="preserve"> PAGEREF _Toc387671274 \h </w:instrText>
        </w:r>
        <w:r w:rsidR="00532E60">
          <w:rPr>
            <w:noProof/>
            <w:webHidden/>
          </w:rPr>
        </w:r>
        <w:r w:rsidR="00532E60">
          <w:rPr>
            <w:noProof/>
            <w:webHidden/>
          </w:rPr>
          <w:fldChar w:fldCharType="separate"/>
        </w:r>
        <w:r w:rsidR="00532E60">
          <w:rPr>
            <w:noProof/>
            <w:webHidden/>
          </w:rPr>
          <w:t>10</w:t>
        </w:r>
        <w:r w:rsidR="00532E60">
          <w:rPr>
            <w:noProof/>
            <w:webHidden/>
          </w:rPr>
          <w:fldChar w:fldCharType="end"/>
        </w:r>
      </w:hyperlink>
    </w:p>
    <w:p w:rsidR="00532E60" w:rsidRDefault="00E42F82">
      <w:pPr>
        <w:pStyle w:val="INNH1"/>
        <w:rPr>
          <w:rFonts w:asciiTheme="minorHAnsi" w:eastAsiaTheme="minorEastAsia" w:hAnsiTheme="minorHAnsi"/>
          <w:sz w:val="22"/>
          <w:lang w:eastAsia="nb-NO"/>
        </w:rPr>
      </w:pPr>
      <w:hyperlink w:anchor="_Toc387671275" w:history="1">
        <w:r w:rsidR="00532E60" w:rsidRPr="00F12C3D">
          <w:rPr>
            <w:rStyle w:val="Hyperkobling"/>
          </w:rPr>
          <w:t>3</w:t>
        </w:r>
        <w:r w:rsidR="00532E60">
          <w:rPr>
            <w:rFonts w:asciiTheme="minorHAnsi" w:eastAsiaTheme="minorEastAsia" w:hAnsiTheme="minorHAnsi"/>
            <w:sz w:val="22"/>
            <w:lang w:eastAsia="nb-NO"/>
          </w:rPr>
          <w:tab/>
        </w:r>
        <w:r w:rsidR="00532E60" w:rsidRPr="00F12C3D">
          <w:rPr>
            <w:rStyle w:val="Hyperkobling"/>
          </w:rPr>
          <w:t>Risiko- og kapitalstyring</w:t>
        </w:r>
        <w:r w:rsidR="00532E60">
          <w:rPr>
            <w:webHidden/>
          </w:rPr>
          <w:tab/>
        </w:r>
        <w:r w:rsidR="00532E60">
          <w:rPr>
            <w:webHidden/>
          </w:rPr>
          <w:fldChar w:fldCharType="begin"/>
        </w:r>
        <w:r w:rsidR="00532E60">
          <w:rPr>
            <w:webHidden/>
          </w:rPr>
          <w:instrText xml:space="preserve"> PAGEREF _Toc387671275 \h </w:instrText>
        </w:r>
        <w:r w:rsidR="00532E60">
          <w:rPr>
            <w:webHidden/>
          </w:rPr>
        </w:r>
        <w:r w:rsidR="00532E60">
          <w:rPr>
            <w:webHidden/>
          </w:rPr>
          <w:fldChar w:fldCharType="separate"/>
        </w:r>
        <w:r w:rsidR="00532E60">
          <w:rPr>
            <w:webHidden/>
          </w:rPr>
          <w:t>11</w:t>
        </w:r>
        <w:r w:rsidR="00532E60">
          <w:rPr>
            <w:webHidden/>
          </w:rPr>
          <w:fldChar w:fldCharType="end"/>
        </w:r>
      </w:hyperlink>
    </w:p>
    <w:p w:rsidR="00532E60" w:rsidRDefault="00E42F82">
      <w:pPr>
        <w:pStyle w:val="INNH2"/>
        <w:rPr>
          <w:rFonts w:asciiTheme="minorHAnsi" w:hAnsiTheme="minorHAnsi"/>
          <w:noProof/>
          <w:sz w:val="22"/>
          <w:lang w:eastAsia="nb-NO"/>
        </w:rPr>
      </w:pPr>
      <w:hyperlink w:anchor="_Toc387671276" w:history="1">
        <w:r w:rsidR="00532E60" w:rsidRPr="00F12C3D">
          <w:rPr>
            <w:rStyle w:val="Hyperkobling"/>
            <w:noProof/>
          </w:rPr>
          <w:t>3.1</w:t>
        </w:r>
        <w:r w:rsidR="00532E60">
          <w:rPr>
            <w:rFonts w:asciiTheme="minorHAnsi" w:hAnsiTheme="minorHAnsi"/>
            <w:noProof/>
            <w:sz w:val="22"/>
            <w:lang w:eastAsia="nb-NO"/>
          </w:rPr>
          <w:tab/>
        </w:r>
        <w:r w:rsidR="00532E60" w:rsidRPr="00F12C3D">
          <w:rPr>
            <w:rStyle w:val="Hyperkobling"/>
            <w:noProof/>
          </w:rPr>
          <w:t>Overordnet</w:t>
        </w:r>
        <w:r w:rsidR="00532E60">
          <w:rPr>
            <w:noProof/>
            <w:webHidden/>
          </w:rPr>
          <w:tab/>
        </w:r>
        <w:r w:rsidR="00532E60">
          <w:rPr>
            <w:noProof/>
            <w:webHidden/>
          </w:rPr>
          <w:fldChar w:fldCharType="begin"/>
        </w:r>
        <w:r w:rsidR="00532E60">
          <w:rPr>
            <w:noProof/>
            <w:webHidden/>
          </w:rPr>
          <w:instrText xml:space="preserve"> PAGEREF _Toc387671276 \h </w:instrText>
        </w:r>
        <w:r w:rsidR="00532E60">
          <w:rPr>
            <w:noProof/>
            <w:webHidden/>
          </w:rPr>
        </w:r>
        <w:r w:rsidR="00532E60">
          <w:rPr>
            <w:noProof/>
            <w:webHidden/>
          </w:rPr>
          <w:fldChar w:fldCharType="separate"/>
        </w:r>
        <w:r w:rsidR="00532E60">
          <w:rPr>
            <w:noProof/>
            <w:webHidden/>
          </w:rPr>
          <w:t>11</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77" w:history="1">
        <w:r w:rsidR="00532E60" w:rsidRPr="00F12C3D">
          <w:rPr>
            <w:rStyle w:val="Hyperkobling"/>
            <w:noProof/>
          </w:rPr>
          <w:t>3.2</w:t>
        </w:r>
        <w:r w:rsidR="00532E60">
          <w:rPr>
            <w:rFonts w:asciiTheme="minorHAnsi" w:hAnsiTheme="minorHAnsi"/>
            <w:noProof/>
            <w:sz w:val="22"/>
            <w:lang w:eastAsia="nb-NO"/>
          </w:rPr>
          <w:tab/>
        </w:r>
        <w:r w:rsidR="00532E60" w:rsidRPr="00F12C3D">
          <w:rPr>
            <w:rStyle w:val="Hyperkobling"/>
            <w:noProof/>
          </w:rPr>
          <w:t>Kredittrisiko</w:t>
        </w:r>
        <w:r w:rsidR="00532E60">
          <w:rPr>
            <w:noProof/>
            <w:webHidden/>
          </w:rPr>
          <w:tab/>
        </w:r>
        <w:r w:rsidR="00532E60">
          <w:rPr>
            <w:noProof/>
            <w:webHidden/>
          </w:rPr>
          <w:fldChar w:fldCharType="begin"/>
        </w:r>
        <w:r w:rsidR="00532E60">
          <w:rPr>
            <w:noProof/>
            <w:webHidden/>
          </w:rPr>
          <w:instrText xml:space="preserve"> PAGEREF _Toc387671277 \h </w:instrText>
        </w:r>
        <w:r w:rsidR="00532E60">
          <w:rPr>
            <w:noProof/>
            <w:webHidden/>
          </w:rPr>
        </w:r>
        <w:r w:rsidR="00532E60">
          <w:rPr>
            <w:noProof/>
            <w:webHidden/>
          </w:rPr>
          <w:fldChar w:fldCharType="separate"/>
        </w:r>
        <w:r w:rsidR="00532E60">
          <w:rPr>
            <w:noProof/>
            <w:webHidden/>
          </w:rPr>
          <w:t>12</w:t>
        </w:r>
        <w:r w:rsidR="00532E60">
          <w:rPr>
            <w:noProof/>
            <w:webHidden/>
          </w:rPr>
          <w:fldChar w:fldCharType="end"/>
        </w:r>
      </w:hyperlink>
    </w:p>
    <w:p w:rsidR="00532E60" w:rsidRDefault="00E42F82">
      <w:pPr>
        <w:pStyle w:val="INNH3"/>
        <w:tabs>
          <w:tab w:val="left" w:pos="1100"/>
          <w:tab w:val="right" w:leader="dot" w:pos="9062"/>
        </w:tabs>
        <w:rPr>
          <w:rFonts w:asciiTheme="minorHAnsi" w:hAnsiTheme="minorHAnsi"/>
          <w:noProof/>
          <w:sz w:val="22"/>
          <w:lang w:eastAsia="nb-NO"/>
        </w:rPr>
      </w:pPr>
      <w:hyperlink w:anchor="_Toc387671278" w:history="1">
        <w:r w:rsidR="00532E60" w:rsidRPr="00F12C3D">
          <w:rPr>
            <w:rStyle w:val="Hyperkobling"/>
            <w:noProof/>
          </w:rPr>
          <w:t>3.2.1</w:t>
        </w:r>
        <w:r w:rsidR="00532E60">
          <w:rPr>
            <w:rFonts w:asciiTheme="minorHAnsi" w:hAnsiTheme="minorHAnsi"/>
            <w:noProof/>
            <w:sz w:val="22"/>
            <w:lang w:eastAsia="nb-NO"/>
          </w:rPr>
          <w:tab/>
        </w:r>
        <w:r w:rsidR="00532E60" w:rsidRPr="00F12C3D">
          <w:rPr>
            <w:rStyle w:val="Hyperkobling"/>
            <w:noProof/>
          </w:rPr>
          <w:t>Kreditteksponering</w:t>
        </w:r>
        <w:r w:rsidR="00532E60">
          <w:rPr>
            <w:noProof/>
            <w:webHidden/>
          </w:rPr>
          <w:tab/>
        </w:r>
        <w:r w:rsidR="00532E60">
          <w:rPr>
            <w:noProof/>
            <w:webHidden/>
          </w:rPr>
          <w:fldChar w:fldCharType="begin"/>
        </w:r>
        <w:r w:rsidR="00532E60">
          <w:rPr>
            <w:noProof/>
            <w:webHidden/>
          </w:rPr>
          <w:instrText xml:space="preserve"> PAGEREF _Toc387671278 \h </w:instrText>
        </w:r>
        <w:r w:rsidR="00532E60">
          <w:rPr>
            <w:noProof/>
            <w:webHidden/>
          </w:rPr>
        </w:r>
        <w:r w:rsidR="00532E60">
          <w:rPr>
            <w:noProof/>
            <w:webHidden/>
          </w:rPr>
          <w:fldChar w:fldCharType="separate"/>
        </w:r>
        <w:r w:rsidR="00532E60">
          <w:rPr>
            <w:noProof/>
            <w:webHidden/>
          </w:rPr>
          <w:t>13</w:t>
        </w:r>
        <w:r w:rsidR="00532E60">
          <w:rPr>
            <w:noProof/>
            <w:webHidden/>
          </w:rPr>
          <w:fldChar w:fldCharType="end"/>
        </w:r>
      </w:hyperlink>
    </w:p>
    <w:p w:rsidR="00532E60" w:rsidRDefault="00E42F82">
      <w:pPr>
        <w:pStyle w:val="INNH3"/>
        <w:tabs>
          <w:tab w:val="left" w:pos="1100"/>
          <w:tab w:val="right" w:leader="dot" w:pos="9062"/>
        </w:tabs>
        <w:rPr>
          <w:rFonts w:asciiTheme="minorHAnsi" w:hAnsiTheme="minorHAnsi"/>
          <w:noProof/>
          <w:sz w:val="22"/>
          <w:lang w:eastAsia="nb-NO"/>
        </w:rPr>
      </w:pPr>
      <w:hyperlink w:anchor="_Toc387671279" w:history="1">
        <w:r w:rsidR="00532E60" w:rsidRPr="00F12C3D">
          <w:rPr>
            <w:rStyle w:val="Hyperkobling"/>
            <w:noProof/>
          </w:rPr>
          <w:t>3.2.2</w:t>
        </w:r>
        <w:r w:rsidR="00532E60">
          <w:rPr>
            <w:rFonts w:asciiTheme="minorHAnsi" w:hAnsiTheme="minorHAnsi"/>
            <w:noProof/>
            <w:sz w:val="22"/>
            <w:lang w:eastAsia="nb-NO"/>
          </w:rPr>
          <w:tab/>
        </w:r>
        <w:r w:rsidR="00532E60" w:rsidRPr="00F12C3D">
          <w:rPr>
            <w:rStyle w:val="Hyperkobling"/>
            <w:noProof/>
          </w:rPr>
          <w:t>Konsentrasjonsrisiko</w:t>
        </w:r>
        <w:r w:rsidR="00532E60">
          <w:rPr>
            <w:noProof/>
            <w:webHidden/>
          </w:rPr>
          <w:tab/>
        </w:r>
        <w:r w:rsidR="00532E60">
          <w:rPr>
            <w:noProof/>
            <w:webHidden/>
          </w:rPr>
          <w:fldChar w:fldCharType="begin"/>
        </w:r>
        <w:r w:rsidR="00532E60">
          <w:rPr>
            <w:noProof/>
            <w:webHidden/>
          </w:rPr>
          <w:instrText xml:space="preserve"> PAGEREF _Toc387671279 \h </w:instrText>
        </w:r>
        <w:r w:rsidR="00532E60">
          <w:rPr>
            <w:noProof/>
            <w:webHidden/>
          </w:rPr>
        </w:r>
        <w:r w:rsidR="00532E60">
          <w:rPr>
            <w:noProof/>
            <w:webHidden/>
          </w:rPr>
          <w:fldChar w:fldCharType="separate"/>
        </w:r>
        <w:r w:rsidR="00532E60">
          <w:rPr>
            <w:noProof/>
            <w:webHidden/>
          </w:rPr>
          <w:t>15</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80" w:history="1">
        <w:r w:rsidR="00532E60" w:rsidRPr="00F12C3D">
          <w:rPr>
            <w:rStyle w:val="Hyperkobling"/>
            <w:noProof/>
          </w:rPr>
          <w:t>3.3</w:t>
        </w:r>
        <w:r w:rsidR="00532E60">
          <w:rPr>
            <w:rFonts w:asciiTheme="minorHAnsi" w:hAnsiTheme="minorHAnsi"/>
            <w:noProof/>
            <w:sz w:val="22"/>
            <w:lang w:eastAsia="nb-NO"/>
          </w:rPr>
          <w:tab/>
        </w:r>
        <w:r w:rsidR="00532E60" w:rsidRPr="00F12C3D">
          <w:rPr>
            <w:rStyle w:val="Hyperkobling"/>
            <w:noProof/>
          </w:rPr>
          <w:t>Markedsrisko (Oppgjørsrisiko &amp; Posisjons-, valuta og oppgjørsrisiko)</w:t>
        </w:r>
        <w:r w:rsidR="00532E60">
          <w:rPr>
            <w:noProof/>
            <w:webHidden/>
          </w:rPr>
          <w:tab/>
        </w:r>
        <w:r w:rsidR="00532E60">
          <w:rPr>
            <w:noProof/>
            <w:webHidden/>
          </w:rPr>
          <w:fldChar w:fldCharType="begin"/>
        </w:r>
        <w:r w:rsidR="00532E60">
          <w:rPr>
            <w:noProof/>
            <w:webHidden/>
          </w:rPr>
          <w:instrText xml:space="preserve"> PAGEREF _Toc387671280 \h </w:instrText>
        </w:r>
        <w:r w:rsidR="00532E60">
          <w:rPr>
            <w:noProof/>
            <w:webHidden/>
          </w:rPr>
        </w:r>
        <w:r w:rsidR="00532E60">
          <w:rPr>
            <w:noProof/>
            <w:webHidden/>
          </w:rPr>
          <w:fldChar w:fldCharType="separate"/>
        </w:r>
        <w:r w:rsidR="00532E60">
          <w:rPr>
            <w:noProof/>
            <w:webHidden/>
          </w:rPr>
          <w:t>16</w:t>
        </w:r>
        <w:r w:rsidR="00532E60">
          <w:rPr>
            <w:noProof/>
            <w:webHidden/>
          </w:rPr>
          <w:fldChar w:fldCharType="end"/>
        </w:r>
      </w:hyperlink>
    </w:p>
    <w:p w:rsidR="00532E60" w:rsidRDefault="00E42F82">
      <w:pPr>
        <w:pStyle w:val="INNH3"/>
        <w:tabs>
          <w:tab w:val="left" w:pos="1100"/>
          <w:tab w:val="right" w:leader="dot" w:pos="9062"/>
        </w:tabs>
        <w:rPr>
          <w:rFonts w:asciiTheme="minorHAnsi" w:hAnsiTheme="minorHAnsi"/>
          <w:noProof/>
          <w:sz w:val="22"/>
          <w:lang w:eastAsia="nb-NO"/>
        </w:rPr>
      </w:pPr>
      <w:hyperlink w:anchor="_Toc387671281" w:history="1">
        <w:r w:rsidR="00532E60" w:rsidRPr="00F12C3D">
          <w:rPr>
            <w:rStyle w:val="Hyperkobling"/>
            <w:noProof/>
          </w:rPr>
          <w:t>3.3.1</w:t>
        </w:r>
        <w:r w:rsidR="00532E60">
          <w:rPr>
            <w:rFonts w:asciiTheme="minorHAnsi" w:hAnsiTheme="minorHAnsi"/>
            <w:noProof/>
            <w:sz w:val="22"/>
            <w:lang w:eastAsia="nb-NO"/>
          </w:rPr>
          <w:tab/>
        </w:r>
        <w:r w:rsidR="00532E60" w:rsidRPr="00F12C3D">
          <w:rPr>
            <w:rStyle w:val="Hyperkobling"/>
            <w:noProof/>
          </w:rPr>
          <w:t>Renterisiko</w:t>
        </w:r>
        <w:r w:rsidR="00532E60">
          <w:rPr>
            <w:noProof/>
            <w:webHidden/>
          </w:rPr>
          <w:tab/>
        </w:r>
        <w:r w:rsidR="00532E60">
          <w:rPr>
            <w:noProof/>
            <w:webHidden/>
          </w:rPr>
          <w:fldChar w:fldCharType="begin"/>
        </w:r>
        <w:r w:rsidR="00532E60">
          <w:rPr>
            <w:noProof/>
            <w:webHidden/>
          </w:rPr>
          <w:instrText xml:space="preserve"> PAGEREF _Toc387671281 \h </w:instrText>
        </w:r>
        <w:r w:rsidR="00532E60">
          <w:rPr>
            <w:noProof/>
            <w:webHidden/>
          </w:rPr>
        </w:r>
        <w:r w:rsidR="00532E60">
          <w:rPr>
            <w:noProof/>
            <w:webHidden/>
          </w:rPr>
          <w:fldChar w:fldCharType="separate"/>
        </w:r>
        <w:r w:rsidR="00532E60">
          <w:rPr>
            <w:noProof/>
            <w:webHidden/>
          </w:rPr>
          <w:t>16</w:t>
        </w:r>
        <w:r w:rsidR="00532E60">
          <w:rPr>
            <w:noProof/>
            <w:webHidden/>
          </w:rPr>
          <w:fldChar w:fldCharType="end"/>
        </w:r>
      </w:hyperlink>
    </w:p>
    <w:p w:rsidR="00532E60" w:rsidRDefault="00E42F82">
      <w:pPr>
        <w:pStyle w:val="INNH3"/>
        <w:tabs>
          <w:tab w:val="left" w:pos="1100"/>
          <w:tab w:val="right" w:leader="dot" w:pos="9062"/>
        </w:tabs>
        <w:rPr>
          <w:rFonts w:asciiTheme="minorHAnsi" w:hAnsiTheme="minorHAnsi"/>
          <w:noProof/>
          <w:sz w:val="22"/>
          <w:lang w:eastAsia="nb-NO"/>
        </w:rPr>
      </w:pPr>
      <w:hyperlink w:anchor="_Toc387671282" w:history="1">
        <w:r w:rsidR="00532E60" w:rsidRPr="00F12C3D">
          <w:rPr>
            <w:rStyle w:val="Hyperkobling"/>
            <w:noProof/>
          </w:rPr>
          <w:t>3.3.2</w:t>
        </w:r>
        <w:r w:rsidR="00532E60">
          <w:rPr>
            <w:rFonts w:asciiTheme="minorHAnsi" w:hAnsiTheme="minorHAnsi"/>
            <w:noProof/>
            <w:sz w:val="22"/>
            <w:lang w:eastAsia="nb-NO"/>
          </w:rPr>
          <w:tab/>
        </w:r>
        <w:r w:rsidR="00532E60" w:rsidRPr="00F12C3D">
          <w:rPr>
            <w:rStyle w:val="Hyperkobling"/>
            <w:noProof/>
          </w:rPr>
          <w:t>Valutarisiko</w:t>
        </w:r>
        <w:r w:rsidR="00532E60">
          <w:rPr>
            <w:noProof/>
            <w:webHidden/>
          </w:rPr>
          <w:tab/>
        </w:r>
        <w:r w:rsidR="00532E60">
          <w:rPr>
            <w:noProof/>
            <w:webHidden/>
          </w:rPr>
          <w:fldChar w:fldCharType="begin"/>
        </w:r>
        <w:r w:rsidR="00532E60">
          <w:rPr>
            <w:noProof/>
            <w:webHidden/>
          </w:rPr>
          <w:instrText xml:space="preserve"> PAGEREF _Toc387671282 \h </w:instrText>
        </w:r>
        <w:r w:rsidR="00532E60">
          <w:rPr>
            <w:noProof/>
            <w:webHidden/>
          </w:rPr>
        </w:r>
        <w:r w:rsidR="00532E60">
          <w:rPr>
            <w:noProof/>
            <w:webHidden/>
          </w:rPr>
          <w:fldChar w:fldCharType="separate"/>
        </w:r>
        <w:r w:rsidR="00532E60">
          <w:rPr>
            <w:noProof/>
            <w:webHidden/>
          </w:rPr>
          <w:t>17</w:t>
        </w:r>
        <w:r w:rsidR="00532E60">
          <w:rPr>
            <w:noProof/>
            <w:webHidden/>
          </w:rPr>
          <w:fldChar w:fldCharType="end"/>
        </w:r>
      </w:hyperlink>
    </w:p>
    <w:p w:rsidR="00532E60" w:rsidRDefault="00E42F82">
      <w:pPr>
        <w:pStyle w:val="INNH3"/>
        <w:tabs>
          <w:tab w:val="left" w:pos="1100"/>
          <w:tab w:val="right" w:leader="dot" w:pos="9062"/>
        </w:tabs>
        <w:rPr>
          <w:rFonts w:asciiTheme="minorHAnsi" w:hAnsiTheme="minorHAnsi"/>
          <w:noProof/>
          <w:sz w:val="22"/>
          <w:lang w:eastAsia="nb-NO"/>
        </w:rPr>
      </w:pPr>
      <w:hyperlink w:anchor="_Toc387671283" w:history="1">
        <w:r w:rsidR="00532E60" w:rsidRPr="00F12C3D">
          <w:rPr>
            <w:rStyle w:val="Hyperkobling"/>
            <w:noProof/>
          </w:rPr>
          <w:t>3.3.3</w:t>
        </w:r>
        <w:r w:rsidR="00532E60">
          <w:rPr>
            <w:rFonts w:asciiTheme="minorHAnsi" w:hAnsiTheme="minorHAnsi"/>
            <w:noProof/>
            <w:sz w:val="22"/>
            <w:lang w:eastAsia="nb-NO"/>
          </w:rPr>
          <w:tab/>
        </w:r>
        <w:r w:rsidR="00532E60" w:rsidRPr="00F12C3D">
          <w:rPr>
            <w:rStyle w:val="Hyperkobling"/>
            <w:noProof/>
          </w:rPr>
          <w:t>Aksjerisiko</w:t>
        </w:r>
        <w:r w:rsidR="00532E60">
          <w:rPr>
            <w:noProof/>
            <w:webHidden/>
          </w:rPr>
          <w:tab/>
        </w:r>
        <w:r w:rsidR="00532E60">
          <w:rPr>
            <w:noProof/>
            <w:webHidden/>
          </w:rPr>
          <w:fldChar w:fldCharType="begin"/>
        </w:r>
        <w:r w:rsidR="00532E60">
          <w:rPr>
            <w:noProof/>
            <w:webHidden/>
          </w:rPr>
          <w:instrText xml:space="preserve"> PAGEREF _Toc387671283 \h </w:instrText>
        </w:r>
        <w:r w:rsidR="00532E60">
          <w:rPr>
            <w:noProof/>
            <w:webHidden/>
          </w:rPr>
        </w:r>
        <w:r w:rsidR="00532E60">
          <w:rPr>
            <w:noProof/>
            <w:webHidden/>
          </w:rPr>
          <w:fldChar w:fldCharType="separate"/>
        </w:r>
        <w:r w:rsidR="00532E60">
          <w:rPr>
            <w:noProof/>
            <w:webHidden/>
          </w:rPr>
          <w:t>18</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84" w:history="1">
        <w:r w:rsidR="00532E60" w:rsidRPr="00F12C3D">
          <w:rPr>
            <w:rStyle w:val="Hyperkobling"/>
            <w:noProof/>
          </w:rPr>
          <w:t>3.4</w:t>
        </w:r>
        <w:r w:rsidR="00532E60">
          <w:rPr>
            <w:rFonts w:asciiTheme="minorHAnsi" w:hAnsiTheme="minorHAnsi"/>
            <w:noProof/>
            <w:sz w:val="22"/>
            <w:lang w:eastAsia="nb-NO"/>
          </w:rPr>
          <w:tab/>
        </w:r>
        <w:r w:rsidR="00532E60" w:rsidRPr="00F12C3D">
          <w:rPr>
            <w:rStyle w:val="Hyperkobling"/>
            <w:noProof/>
          </w:rPr>
          <w:t>Likviditetsrisiko</w:t>
        </w:r>
        <w:r w:rsidR="00532E60">
          <w:rPr>
            <w:noProof/>
            <w:webHidden/>
          </w:rPr>
          <w:tab/>
        </w:r>
        <w:r w:rsidR="00532E60">
          <w:rPr>
            <w:noProof/>
            <w:webHidden/>
          </w:rPr>
          <w:fldChar w:fldCharType="begin"/>
        </w:r>
        <w:r w:rsidR="00532E60">
          <w:rPr>
            <w:noProof/>
            <w:webHidden/>
          </w:rPr>
          <w:instrText xml:space="preserve"> PAGEREF _Toc387671284 \h </w:instrText>
        </w:r>
        <w:r w:rsidR="00532E60">
          <w:rPr>
            <w:noProof/>
            <w:webHidden/>
          </w:rPr>
        </w:r>
        <w:r w:rsidR="00532E60">
          <w:rPr>
            <w:noProof/>
            <w:webHidden/>
          </w:rPr>
          <w:fldChar w:fldCharType="separate"/>
        </w:r>
        <w:r w:rsidR="00532E60">
          <w:rPr>
            <w:noProof/>
            <w:webHidden/>
          </w:rPr>
          <w:t>18</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85" w:history="1">
        <w:r w:rsidR="00532E60" w:rsidRPr="00F12C3D">
          <w:rPr>
            <w:rStyle w:val="Hyperkobling"/>
            <w:noProof/>
          </w:rPr>
          <w:t>3.5</w:t>
        </w:r>
        <w:r w:rsidR="00532E60">
          <w:rPr>
            <w:rFonts w:asciiTheme="minorHAnsi" w:hAnsiTheme="minorHAnsi"/>
            <w:noProof/>
            <w:sz w:val="22"/>
            <w:lang w:eastAsia="nb-NO"/>
          </w:rPr>
          <w:tab/>
        </w:r>
        <w:r w:rsidR="00532E60" w:rsidRPr="00F12C3D">
          <w:rPr>
            <w:rStyle w:val="Hyperkobling"/>
            <w:noProof/>
          </w:rPr>
          <w:t>Operasjonell risiko</w:t>
        </w:r>
        <w:r w:rsidR="00532E60">
          <w:rPr>
            <w:noProof/>
            <w:webHidden/>
          </w:rPr>
          <w:tab/>
        </w:r>
        <w:r w:rsidR="00532E60">
          <w:rPr>
            <w:noProof/>
            <w:webHidden/>
          </w:rPr>
          <w:fldChar w:fldCharType="begin"/>
        </w:r>
        <w:r w:rsidR="00532E60">
          <w:rPr>
            <w:noProof/>
            <w:webHidden/>
          </w:rPr>
          <w:instrText xml:space="preserve"> PAGEREF _Toc387671285 \h </w:instrText>
        </w:r>
        <w:r w:rsidR="00532E60">
          <w:rPr>
            <w:noProof/>
            <w:webHidden/>
          </w:rPr>
        </w:r>
        <w:r w:rsidR="00532E60">
          <w:rPr>
            <w:noProof/>
            <w:webHidden/>
          </w:rPr>
          <w:fldChar w:fldCharType="separate"/>
        </w:r>
        <w:r w:rsidR="00532E60">
          <w:rPr>
            <w:noProof/>
            <w:webHidden/>
          </w:rPr>
          <w:t>19</w:t>
        </w:r>
        <w:r w:rsidR="00532E60">
          <w:rPr>
            <w:noProof/>
            <w:webHidden/>
          </w:rPr>
          <w:fldChar w:fldCharType="end"/>
        </w:r>
      </w:hyperlink>
    </w:p>
    <w:p w:rsidR="00532E60" w:rsidRDefault="00E42F82">
      <w:pPr>
        <w:pStyle w:val="INNH3"/>
        <w:tabs>
          <w:tab w:val="left" w:pos="1100"/>
          <w:tab w:val="right" w:leader="dot" w:pos="9062"/>
        </w:tabs>
        <w:rPr>
          <w:rFonts w:asciiTheme="minorHAnsi" w:hAnsiTheme="minorHAnsi"/>
          <w:noProof/>
          <w:sz w:val="22"/>
          <w:lang w:eastAsia="nb-NO"/>
        </w:rPr>
      </w:pPr>
      <w:hyperlink w:anchor="_Toc387671286" w:history="1">
        <w:r w:rsidR="00532E60" w:rsidRPr="00F12C3D">
          <w:rPr>
            <w:rStyle w:val="Hyperkobling"/>
            <w:noProof/>
          </w:rPr>
          <w:t>3.5.1</w:t>
        </w:r>
        <w:r w:rsidR="00532E60">
          <w:rPr>
            <w:rFonts w:asciiTheme="minorHAnsi" w:hAnsiTheme="minorHAnsi"/>
            <w:noProof/>
            <w:sz w:val="22"/>
            <w:lang w:eastAsia="nb-NO"/>
          </w:rPr>
          <w:tab/>
        </w:r>
        <w:r w:rsidR="00532E60" w:rsidRPr="00F12C3D">
          <w:rPr>
            <w:rStyle w:val="Hyperkobling"/>
            <w:noProof/>
          </w:rPr>
          <w:t>FRAM</w:t>
        </w:r>
        <w:r w:rsidR="00532E60">
          <w:rPr>
            <w:noProof/>
            <w:webHidden/>
          </w:rPr>
          <w:tab/>
        </w:r>
        <w:r w:rsidR="00532E60">
          <w:rPr>
            <w:noProof/>
            <w:webHidden/>
          </w:rPr>
          <w:fldChar w:fldCharType="begin"/>
        </w:r>
        <w:r w:rsidR="00532E60">
          <w:rPr>
            <w:noProof/>
            <w:webHidden/>
          </w:rPr>
          <w:instrText xml:space="preserve"> PAGEREF _Toc387671286 \h </w:instrText>
        </w:r>
        <w:r w:rsidR="00532E60">
          <w:rPr>
            <w:noProof/>
            <w:webHidden/>
          </w:rPr>
        </w:r>
        <w:r w:rsidR="00532E60">
          <w:rPr>
            <w:noProof/>
            <w:webHidden/>
          </w:rPr>
          <w:fldChar w:fldCharType="separate"/>
        </w:r>
        <w:r w:rsidR="00532E60">
          <w:rPr>
            <w:noProof/>
            <w:webHidden/>
          </w:rPr>
          <w:t>19</w:t>
        </w:r>
        <w:r w:rsidR="00532E60">
          <w:rPr>
            <w:noProof/>
            <w:webHidden/>
          </w:rPr>
          <w:fldChar w:fldCharType="end"/>
        </w:r>
      </w:hyperlink>
    </w:p>
    <w:p w:rsidR="00532E60" w:rsidRDefault="00E42F82">
      <w:pPr>
        <w:pStyle w:val="INNH3"/>
        <w:tabs>
          <w:tab w:val="left" w:pos="1100"/>
          <w:tab w:val="right" w:leader="dot" w:pos="9062"/>
        </w:tabs>
        <w:rPr>
          <w:rFonts w:asciiTheme="minorHAnsi" w:hAnsiTheme="minorHAnsi"/>
          <w:noProof/>
          <w:sz w:val="22"/>
          <w:lang w:eastAsia="nb-NO"/>
        </w:rPr>
      </w:pPr>
      <w:hyperlink w:anchor="_Toc387671287" w:history="1">
        <w:r w:rsidR="00532E60" w:rsidRPr="00F12C3D">
          <w:rPr>
            <w:rStyle w:val="Hyperkobling"/>
            <w:noProof/>
          </w:rPr>
          <w:t>3.5.2</w:t>
        </w:r>
        <w:r w:rsidR="00532E60">
          <w:rPr>
            <w:rFonts w:asciiTheme="minorHAnsi" w:hAnsiTheme="minorHAnsi"/>
            <w:noProof/>
            <w:sz w:val="22"/>
            <w:lang w:eastAsia="nb-NO"/>
          </w:rPr>
          <w:tab/>
        </w:r>
        <w:r w:rsidR="00532E60" w:rsidRPr="00F12C3D">
          <w:rPr>
            <w:rStyle w:val="Hyperkobling"/>
            <w:noProof/>
          </w:rPr>
          <w:t>Autorisasjonsordningen (AFR)</w:t>
        </w:r>
        <w:r w:rsidR="00532E60">
          <w:rPr>
            <w:noProof/>
            <w:webHidden/>
          </w:rPr>
          <w:tab/>
        </w:r>
        <w:r w:rsidR="00532E60">
          <w:rPr>
            <w:noProof/>
            <w:webHidden/>
          </w:rPr>
          <w:fldChar w:fldCharType="begin"/>
        </w:r>
        <w:r w:rsidR="00532E60">
          <w:rPr>
            <w:noProof/>
            <w:webHidden/>
          </w:rPr>
          <w:instrText xml:space="preserve"> PAGEREF _Toc387671287 \h </w:instrText>
        </w:r>
        <w:r w:rsidR="00532E60">
          <w:rPr>
            <w:noProof/>
            <w:webHidden/>
          </w:rPr>
        </w:r>
        <w:r w:rsidR="00532E60">
          <w:rPr>
            <w:noProof/>
            <w:webHidden/>
          </w:rPr>
          <w:fldChar w:fldCharType="separate"/>
        </w:r>
        <w:r w:rsidR="00532E60">
          <w:rPr>
            <w:noProof/>
            <w:webHidden/>
          </w:rPr>
          <w:t>19</w:t>
        </w:r>
        <w:r w:rsidR="00532E60">
          <w:rPr>
            <w:noProof/>
            <w:webHidden/>
          </w:rPr>
          <w:fldChar w:fldCharType="end"/>
        </w:r>
      </w:hyperlink>
    </w:p>
    <w:p w:rsidR="00532E60" w:rsidRDefault="00E42F82">
      <w:pPr>
        <w:pStyle w:val="INNH3"/>
        <w:tabs>
          <w:tab w:val="left" w:pos="1100"/>
          <w:tab w:val="right" w:leader="dot" w:pos="9062"/>
        </w:tabs>
        <w:rPr>
          <w:rFonts w:asciiTheme="minorHAnsi" w:hAnsiTheme="minorHAnsi"/>
          <w:noProof/>
          <w:sz w:val="22"/>
          <w:lang w:eastAsia="nb-NO"/>
        </w:rPr>
      </w:pPr>
      <w:hyperlink w:anchor="_Toc387671288" w:history="1">
        <w:r w:rsidR="00532E60" w:rsidRPr="00F12C3D">
          <w:rPr>
            <w:rStyle w:val="Hyperkobling"/>
            <w:noProof/>
          </w:rPr>
          <w:t>3.5.3</w:t>
        </w:r>
        <w:r w:rsidR="00532E60">
          <w:rPr>
            <w:rFonts w:asciiTheme="minorHAnsi" w:hAnsiTheme="minorHAnsi"/>
            <w:noProof/>
            <w:sz w:val="22"/>
            <w:lang w:eastAsia="nb-NO"/>
          </w:rPr>
          <w:tab/>
        </w:r>
        <w:r w:rsidR="00532E60" w:rsidRPr="00F12C3D">
          <w:rPr>
            <w:rStyle w:val="Hyperkobling"/>
            <w:noProof/>
          </w:rPr>
          <w:t>IKT sikkerhet</w:t>
        </w:r>
        <w:r w:rsidR="00532E60">
          <w:rPr>
            <w:noProof/>
            <w:webHidden/>
          </w:rPr>
          <w:tab/>
        </w:r>
        <w:r w:rsidR="00532E60">
          <w:rPr>
            <w:noProof/>
            <w:webHidden/>
          </w:rPr>
          <w:fldChar w:fldCharType="begin"/>
        </w:r>
        <w:r w:rsidR="00532E60">
          <w:rPr>
            <w:noProof/>
            <w:webHidden/>
          </w:rPr>
          <w:instrText xml:space="preserve"> PAGEREF _Toc387671288 \h </w:instrText>
        </w:r>
        <w:r w:rsidR="00532E60">
          <w:rPr>
            <w:noProof/>
            <w:webHidden/>
          </w:rPr>
        </w:r>
        <w:r w:rsidR="00532E60">
          <w:rPr>
            <w:noProof/>
            <w:webHidden/>
          </w:rPr>
          <w:fldChar w:fldCharType="separate"/>
        </w:r>
        <w:r w:rsidR="00532E60">
          <w:rPr>
            <w:noProof/>
            <w:webHidden/>
          </w:rPr>
          <w:t>19</w:t>
        </w:r>
        <w:r w:rsidR="00532E60">
          <w:rPr>
            <w:noProof/>
            <w:webHidden/>
          </w:rPr>
          <w:fldChar w:fldCharType="end"/>
        </w:r>
      </w:hyperlink>
    </w:p>
    <w:p w:rsidR="00532E60" w:rsidRDefault="00E42F82">
      <w:pPr>
        <w:pStyle w:val="INNH3"/>
        <w:tabs>
          <w:tab w:val="left" w:pos="1100"/>
          <w:tab w:val="right" w:leader="dot" w:pos="9062"/>
        </w:tabs>
        <w:rPr>
          <w:rFonts w:asciiTheme="minorHAnsi" w:hAnsiTheme="minorHAnsi"/>
          <w:noProof/>
          <w:sz w:val="22"/>
          <w:lang w:eastAsia="nb-NO"/>
        </w:rPr>
      </w:pPr>
      <w:hyperlink w:anchor="_Toc387671289" w:history="1">
        <w:r w:rsidR="00532E60" w:rsidRPr="00F12C3D">
          <w:rPr>
            <w:rStyle w:val="Hyperkobling"/>
            <w:noProof/>
          </w:rPr>
          <w:t>3.5.4</w:t>
        </w:r>
        <w:r w:rsidR="00532E60">
          <w:rPr>
            <w:rFonts w:asciiTheme="minorHAnsi" w:hAnsiTheme="minorHAnsi"/>
            <w:noProof/>
            <w:sz w:val="22"/>
            <w:lang w:eastAsia="nb-NO"/>
          </w:rPr>
          <w:tab/>
        </w:r>
        <w:r w:rsidR="00532E60" w:rsidRPr="00F12C3D">
          <w:rPr>
            <w:rStyle w:val="Hyperkobling"/>
            <w:noProof/>
          </w:rPr>
          <w:t>Hvitvasking</w:t>
        </w:r>
        <w:r w:rsidR="00532E60">
          <w:rPr>
            <w:noProof/>
            <w:webHidden/>
          </w:rPr>
          <w:tab/>
        </w:r>
        <w:r w:rsidR="00532E60">
          <w:rPr>
            <w:noProof/>
            <w:webHidden/>
          </w:rPr>
          <w:fldChar w:fldCharType="begin"/>
        </w:r>
        <w:r w:rsidR="00532E60">
          <w:rPr>
            <w:noProof/>
            <w:webHidden/>
          </w:rPr>
          <w:instrText xml:space="preserve"> PAGEREF _Toc387671289 \h </w:instrText>
        </w:r>
        <w:r w:rsidR="00532E60">
          <w:rPr>
            <w:noProof/>
            <w:webHidden/>
          </w:rPr>
        </w:r>
        <w:r w:rsidR="00532E60">
          <w:rPr>
            <w:noProof/>
            <w:webHidden/>
          </w:rPr>
          <w:fldChar w:fldCharType="separate"/>
        </w:r>
        <w:r w:rsidR="00532E60">
          <w:rPr>
            <w:noProof/>
            <w:webHidden/>
          </w:rPr>
          <w:t>20</w:t>
        </w:r>
        <w:r w:rsidR="00532E60">
          <w:rPr>
            <w:noProof/>
            <w:webHidden/>
          </w:rPr>
          <w:fldChar w:fldCharType="end"/>
        </w:r>
      </w:hyperlink>
    </w:p>
    <w:p w:rsidR="00532E60" w:rsidRDefault="00E42F82">
      <w:pPr>
        <w:pStyle w:val="INNH3"/>
        <w:tabs>
          <w:tab w:val="left" w:pos="1100"/>
          <w:tab w:val="right" w:leader="dot" w:pos="9062"/>
        </w:tabs>
        <w:rPr>
          <w:rFonts w:asciiTheme="minorHAnsi" w:hAnsiTheme="minorHAnsi"/>
          <w:noProof/>
          <w:sz w:val="22"/>
          <w:lang w:eastAsia="nb-NO"/>
        </w:rPr>
      </w:pPr>
      <w:hyperlink w:anchor="_Toc387671290" w:history="1">
        <w:r w:rsidR="00532E60" w:rsidRPr="00F12C3D">
          <w:rPr>
            <w:rStyle w:val="Hyperkobling"/>
            <w:noProof/>
          </w:rPr>
          <w:t>3.5.5</w:t>
        </w:r>
        <w:r w:rsidR="00532E60">
          <w:rPr>
            <w:rFonts w:asciiTheme="minorHAnsi" w:hAnsiTheme="minorHAnsi"/>
            <w:noProof/>
            <w:sz w:val="22"/>
            <w:lang w:eastAsia="nb-NO"/>
          </w:rPr>
          <w:tab/>
        </w:r>
        <w:r w:rsidR="00532E60" w:rsidRPr="00F12C3D">
          <w:rPr>
            <w:rStyle w:val="Hyperkobling"/>
            <w:noProof/>
          </w:rPr>
          <w:t>Internkontroll</w:t>
        </w:r>
        <w:r w:rsidR="00532E60">
          <w:rPr>
            <w:noProof/>
            <w:webHidden/>
          </w:rPr>
          <w:tab/>
        </w:r>
        <w:r w:rsidR="00532E60">
          <w:rPr>
            <w:noProof/>
            <w:webHidden/>
          </w:rPr>
          <w:fldChar w:fldCharType="begin"/>
        </w:r>
        <w:r w:rsidR="00532E60">
          <w:rPr>
            <w:noProof/>
            <w:webHidden/>
          </w:rPr>
          <w:instrText xml:space="preserve"> PAGEREF _Toc387671290 \h </w:instrText>
        </w:r>
        <w:r w:rsidR="00532E60">
          <w:rPr>
            <w:noProof/>
            <w:webHidden/>
          </w:rPr>
        </w:r>
        <w:r w:rsidR="00532E60">
          <w:rPr>
            <w:noProof/>
            <w:webHidden/>
          </w:rPr>
          <w:fldChar w:fldCharType="separate"/>
        </w:r>
        <w:r w:rsidR="00532E60">
          <w:rPr>
            <w:noProof/>
            <w:webHidden/>
          </w:rPr>
          <w:t>20</w:t>
        </w:r>
        <w:r w:rsidR="00532E60">
          <w:rPr>
            <w:noProof/>
            <w:webHidden/>
          </w:rPr>
          <w:fldChar w:fldCharType="end"/>
        </w:r>
      </w:hyperlink>
    </w:p>
    <w:p w:rsidR="00532E60" w:rsidRDefault="00E42F82">
      <w:pPr>
        <w:pStyle w:val="INNH3"/>
        <w:tabs>
          <w:tab w:val="left" w:pos="1100"/>
          <w:tab w:val="right" w:leader="dot" w:pos="9062"/>
        </w:tabs>
        <w:rPr>
          <w:rFonts w:asciiTheme="minorHAnsi" w:hAnsiTheme="minorHAnsi"/>
          <w:noProof/>
          <w:sz w:val="22"/>
          <w:lang w:eastAsia="nb-NO"/>
        </w:rPr>
      </w:pPr>
      <w:hyperlink w:anchor="_Toc387671291" w:history="1">
        <w:r w:rsidR="00532E60" w:rsidRPr="00F12C3D">
          <w:rPr>
            <w:rStyle w:val="Hyperkobling"/>
            <w:noProof/>
          </w:rPr>
          <w:t>3.5.6</w:t>
        </w:r>
        <w:r w:rsidR="00532E60">
          <w:rPr>
            <w:rFonts w:asciiTheme="minorHAnsi" w:hAnsiTheme="minorHAnsi"/>
            <w:noProof/>
            <w:sz w:val="22"/>
            <w:lang w:eastAsia="nb-NO"/>
          </w:rPr>
          <w:tab/>
        </w:r>
        <w:r w:rsidR="00532E60" w:rsidRPr="00F12C3D">
          <w:rPr>
            <w:rStyle w:val="Hyperkobling"/>
            <w:noProof/>
          </w:rPr>
          <w:t>Internrevisjon</w:t>
        </w:r>
        <w:r w:rsidR="00532E60">
          <w:rPr>
            <w:noProof/>
            <w:webHidden/>
          </w:rPr>
          <w:tab/>
        </w:r>
        <w:r w:rsidR="00532E60">
          <w:rPr>
            <w:noProof/>
            <w:webHidden/>
          </w:rPr>
          <w:fldChar w:fldCharType="begin"/>
        </w:r>
        <w:r w:rsidR="00532E60">
          <w:rPr>
            <w:noProof/>
            <w:webHidden/>
          </w:rPr>
          <w:instrText xml:space="preserve"> PAGEREF _Toc387671291 \h </w:instrText>
        </w:r>
        <w:r w:rsidR="00532E60">
          <w:rPr>
            <w:noProof/>
            <w:webHidden/>
          </w:rPr>
        </w:r>
        <w:r w:rsidR="00532E60">
          <w:rPr>
            <w:noProof/>
            <w:webHidden/>
          </w:rPr>
          <w:fldChar w:fldCharType="separate"/>
        </w:r>
        <w:r w:rsidR="00532E60">
          <w:rPr>
            <w:noProof/>
            <w:webHidden/>
          </w:rPr>
          <w:t>20</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92" w:history="1">
        <w:r w:rsidR="00532E60" w:rsidRPr="00F12C3D">
          <w:rPr>
            <w:rStyle w:val="Hyperkobling"/>
            <w:noProof/>
          </w:rPr>
          <w:t>3.6</w:t>
        </w:r>
        <w:r w:rsidR="00532E60">
          <w:rPr>
            <w:rFonts w:asciiTheme="minorHAnsi" w:hAnsiTheme="minorHAnsi"/>
            <w:noProof/>
            <w:sz w:val="22"/>
            <w:lang w:eastAsia="nb-NO"/>
          </w:rPr>
          <w:tab/>
        </w:r>
        <w:r w:rsidR="00532E60" w:rsidRPr="00F12C3D">
          <w:rPr>
            <w:rStyle w:val="Hyperkobling"/>
            <w:noProof/>
          </w:rPr>
          <w:t>Kapitalrisiko</w:t>
        </w:r>
        <w:r w:rsidR="00532E60">
          <w:rPr>
            <w:noProof/>
            <w:webHidden/>
          </w:rPr>
          <w:tab/>
        </w:r>
        <w:r w:rsidR="00532E60">
          <w:rPr>
            <w:noProof/>
            <w:webHidden/>
          </w:rPr>
          <w:fldChar w:fldCharType="begin"/>
        </w:r>
        <w:r w:rsidR="00532E60">
          <w:rPr>
            <w:noProof/>
            <w:webHidden/>
          </w:rPr>
          <w:instrText xml:space="preserve"> PAGEREF _Toc387671292 \h </w:instrText>
        </w:r>
        <w:r w:rsidR="00532E60">
          <w:rPr>
            <w:noProof/>
            <w:webHidden/>
          </w:rPr>
        </w:r>
        <w:r w:rsidR="00532E60">
          <w:rPr>
            <w:noProof/>
            <w:webHidden/>
          </w:rPr>
          <w:fldChar w:fldCharType="separate"/>
        </w:r>
        <w:r w:rsidR="00532E60">
          <w:rPr>
            <w:noProof/>
            <w:webHidden/>
          </w:rPr>
          <w:t>20</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93" w:history="1">
        <w:r w:rsidR="00532E60" w:rsidRPr="00F12C3D">
          <w:rPr>
            <w:rStyle w:val="Hyperkobling"/>
            <w:noProof/>
          </w:rPr>
          <w:t>3.7</w:t>
        </w:r>
        <w:r w:rsidR="00532E60">
          <w:rPr>
            <w:rFonts w:asciiTheme="minorHAnsi" w:hAnsiTheme="minorHAnsi"/>
            <w:noProof/>
            <w:sz w:val="22"/>
            <w:lang w:eastAsia="nb-NO"/>
          </w:rPr>
          <w:tab/>
        </w:r>
        <w:r w:rsidR="00532E60" w:rsidRPr="00F12C3D">
          <w:rPr>
            <w:rStyle w:val="Hyperkobling"/>
            <w:noProof/>
          </w:rPr>
          <w:t>Strategisk risiko</w:t>
        </w:r>
        <w:r w:rsidR="00532E60">
          <w:rPr>
            <w:noProof/>
            <w:webHidden/>
          </w:rPr>
          <w:tab/>
        </w:r>
        <w:r w:rsidR="00532E60">
          <w:rPr>
            <w:noProof/>
            <w:webHidden/>
          </w:rPr>
          <w:fldChar w:fldCharType="begin"/>
        </w:r>
        <w:r w:rsidR="00532E60">
          <w:rPr>
            <w:noProof/>
            <w:webHidden/>
          </w:rPr>
          <w:instrText xml:space="preserve"> PAGEREF _Toc387671293 \h </w:instrText>
        </w:r>
        <w:r w:rsidR="00532E60">
          <w:rPr>
            <w:noProof/>
            <w:webHidden/>
          </w:rPr>
        </w:r>
        <w:r w:rsidR="00532E60">
          <w:rPr>
            <w:noProof/>
            <w:webHidden/>
          </w:rPr>
          <w:fldChar w:fldCharType="separate"/>
        </w:r>
        <w:r w:rsidR="00532E60">
          <w:rPr>
            <w:noProof/>
            <w:webHidden/>
          </w:rPr>
          <w:t>20</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94" w:history="1">
        <w:r w:rsidR="00532E60" w:rsidRPr="00F12C3D">
          <w:rPr>
            <w:rStyle w:val="Hyperkobling"/>
            <w:noProof/>
          </w:rPr>
          <w:t>3.8</w:t>
        </w:r>
        <w:r w:rsidR="00532E60">
          <w:rPr>
            <w:rFonts w:asciiTheme="minorHAnsi" w:hAnsiTheme="minorHAnsi"/>
            <w:noProof/>
            <w:sz w:val="22"/>
            <w:lang w:eastAsia="nb-NO"/>
          </w:rPr>
          <w:tab/>
        </w:r>
        <w:r w:rsidR="00532E60" w:rsidRPr="00F12C3D">
          <w:rPr>
            <w:rStyle w:val="Hyperkobling"/>
            <w:noProof/>
          </w:rPr>
          <w:t>Etterlevelses risiko ("Compliance")</w:t>
        </w:r>
        <w:r w:rsidR="00532E60">
          <w:rPr>
            <w:noProof/>
            <w:webHidden/>
          </w:rPr>
          <w:tab/>
        </w:r>
        <w:r w:rsidR="00532E60">
          <w:rPr>
            <w:noProof/>
            <w:webHidden/>
          </w:rPr>
          <w:fldChar w:fldCharType="begin"/>
        </w:r>
        <w:r w:rsidR="00532E60">
          <w:rPr>
            <w:noProof/>
            <w:webHidden/>
          </w:rPr>
          <w:instrText xml:space="preserve"> PAGEREF _Toc387671294 \h </w:instrText>
        </w:r>
        <w:r w:rsidR="00532E60">
          <w:rPr>
            <w:noProof/>
            <w:webHidden/>
          </w:rPr>
        </w:r>
        <w:r w:rsidR="00532E60">
          <w:rPr>
            <w:noProof/>
            <w:webHidden/>
          </w:rPr>
          <w:fldChar w:fldCharType="separate"/>
        </w:r>
        <w:r w:rsidR="00532E60">
          <w:rPr>
            <w:noProof/>
            <w:webHidden/>
          </w:rPr>
          <w:t>20</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95" w:history="1">
        <w:r w:rsidR="00532E60" w:rsidRPr="00F12C3D">
          <w:rPr>
            <w:rStyle w:val="Hyperkobling"/>
            <w:noProof/>
          </w:rPr>
          <w:t>3.9</w:t>
        </w:r>
        <w:r w:rsidR="00532E60">
          <w:rPr>
            <w:rFonts w:asciiTheme="minorHAnsi" w:hAnsiTheme="minorHAnsi"/>
            <w:noProof/>
            <w:sz w:val="22"/>
            <w:lang w:eastAsia="nb-NO"/>
          </w:rPr>
          <w:tab/>
        </w:r>
        <w:r w:rsidR="00532E60" w:rsidRPr="00F12C3D">
          <w:rPr>
            <w:rStyle w:val="Hyperkobling"/>
            <w:noProof/>
          </w:rPr>
          <w:t>Omdømme risiko</w:t>
        </w:r>
        <w:r w:rsidR="00532E60">
          <w:rPr>
            <w:noProof/>
            <w:webHidden/>
          </w:rPr>
          <w:tab/>
        </w:r>
        <w:r w:rsidR="00532E60">
          <w:rPr>
            <w:noProof/>
            <w:webHidden/>
          </w:rPr>
          <w:fldChar w:fldCharType="begin"/>
        </w:r>
        <w:r w:rsidR="00532E60">
          <w:rPr>
            <w:noProof/>
            <w:webHidden/>
          </w:rPr>
          <w:instrText xml:space="preserve"> PAGEREF _Toc387671295 \h </w:instrText>
        </w:r>
        <w:r w:rsidR="00532E60">
          <w:rPr>
            <w:noProof/>
            <w:webHidden/>
          </w:rPr>
        </w:r>
        <w:r w:rsidR="00532E60">
          <w:rPr>
            <w:noProof/>
            <w:webHidden/>
          </w:rPr>
          <w:fldChar w:fldCharType="separate"/>
        </w:r>
        <w:r w:rsidR="00532E60">
          <w:rPr>
            <w:noProof/>
            <w:webHidden/>
          </w:rPr>
          <w:t>20</w:t>
        </w:r>
        <w:r w:rsidR="00532E60">
          <w:rPr>
            <w:noProof/>
            <w:webHidden/>
          </w:rPr>
          <w:fldChar w:fldCharType="end"/>
        </w:r>
      </w:hyperlink>
    </w:p>
    <w:p w:rsidR="00532E60" w:rsidRDefault="00E42F82">
      <w:pPr>
        <w:pStyle w:val="INNH2"/>
        <w:rPr>
          <w:rFonts w:asciiTheme="minorHAnsi" w:hAnsiTheme="minorHAnsi"/>
          <w:noProof/>
          <w:sz w:val="22"/>
          <w:lang w:eastAsia="nb-NO"/>
        </w:rPr>
      </w:pPr>
      <w:hyperlink w:anchor="_Toc387671296" w:history="1">
        <w:r w:rsidR="00532E60" w:rsidRPr="00F12C3D">
          <w:rPr>
            <w:rStyle w:val="Hyperkobling"/>
            <w:noProof/>
          </w:rPr>
          <w:t>3.10</w:t>
        </w:r>
        <w:r w:rsidR="00532E60">
          <w:rPr>
            <w:rFonts w:asciiTheme="minorHAnsi" w:hAnsiTheme="minorHAnsi"/>
            <w:noProof/>
            <w:sz w:val="22"/>
            <w:lang w:eastAsia="nb-NO"/>
          </w:rPr>
          <w:tab/>
        </w:r>
        <w:r w:rsidR="00532E60" w:rsidRPr="00F12C3D">
          <w:rPr>
            <w:rStyle w:val="Hyperkobling"/>
            <w:noProof/>
          </w:rPr>
          <w:t>Andre risikoer</w:t>
        </w:r>
        <w:r w:rsidR="00532E60">
          <w:rPr>
            <w:noProof/>
            <w:webHidden/>
          </w:rPr>
          <w:tab/>
        </w:r>
        <w:r w:rsidR="00532E60">
          <w:rPr>
            <w:noProof/>
            <w:webHidden/>
          </w:rPr>
          <w:fldChar w:fldCharType="begin"/>
        </w:r>
        <w:r w:rsidR="00532E60">
          <w:rPr>
            <w:noProof/>
            <w:webHidden/>
          </w:rPr>
          <w:instrText xml:space="preserve"> PAGEREF _Toc387671296 \h </w:instrText>
        </w:r>
        <w:r w:rsidR="00532E60">
          <w:rPr>
            <w:noProof/>
            <w:webHidden/>
          </w:rPr>
        </w:r>
        <w:r w:rsidR="00532E60">
          <w:rPr>
            <w:noProof/>
            <w:webHidden/>
          </w:rPr>
          <w:fldChar w:fldCharType="separate"/>
        </w:r>
        <w:r w:rsidR="00532E60">
          <w:rPr>
            <w:noProof/>
            <w:webHidden/>
          </w:rPr>
          <w:t>21</w:t>
        </w:r>
        <w:r w:rsidR="00532E60">
          <w:rPr>
            <w:noProof/>
            <w:webHidden/>
          </w:rPr>
          <w:fldChar w:fldCharType="end"/>
        </w:r>
      </w:hyperlink>
    </w:p>
    <w:p w:rsidR="00532E60" w:rsidRDefault="00E42F82">
      <w:pPr>
        <w:pStyle w:val="INNH1"/>
        <w:rPr>
          <w:rFonts w:asciiTheme="minorHAnsi" w:eastAsiaTheme="minorEastAsia" w:hAnsiTheme="minorHAnsi"/>
          <w:sz w:val="22"/>
          <w:lang w:eastAsia="nb-NO"/>
        </w:rPr>
      </w:pPr>
      <w:hyperlink w:anchor="_Toc387671297" w:history="1">
        <w:r w:rsidR="00532E60" w:rsidRPr="00F12C3D">
          <w:rPr>
            <w:rStyle w:val="Hyperkobling"/>
          </w:rPr>
          <w:t>4</w:t>
        </w:r>
        <w:r w:rsidR="00532E60">
          <w:rPr>
            <w:rFonts w:asciiTheme="minorHAnsi" w:eastAsiaTheme="minorEastAsia" w:hAnsiTheme="minorHAnsi"/>
            <w:sz w:val="22"/>
            <w:lang w:eastAsia="nb-NO"/>
          </w:rPr>
          <w:tab/>
        </w:r>
        <w:r w:rsidR="00532E60" w:rsidRPr="00F12C3D">
          <w:rPr>
            <w:rStyle w:val="Hyperkobling"/>
          </w:rPr>
          <w:t>Pantsetting av egne aktiva</w:t>
        </w:r>
        <w:r w:rsidR="00532E60">
          <w:rPr>
            <w:webHidden/>
          </w:rPr>
          <w:tab/>
        </w:r>
        <w:r w:rsidR="00532E60">
          <w:rPr>
            <w:webHidden/>
          </w:rPr>
          <w:fldChar w:fldCharType="begin"/>
        </w:r>
        <w:r w:rsidR="00532E60">
          <w:rPr>
            <w:webHidden/>
          </w:rPr>
          <w:instrText xml:space="preserve"> PAGEREF _Toc387671297 \h </w:instrText>
        </w:r>
        <w:r w:rsidR="00532E60">
          <w:rPr>
            <w:webHidden/>
          </w:rPr>
        </w:r>
        <w:r w:rsidR="00532E60">
          <w:rPr>
            <w:webHidden/>
          </w:rPr>
          <w:fldChar w:fldCharType="separate"/>
        </w:r>
        <w:r w:rsidR="00532E60">
          <w:rPr>
            <w:webHidden/>
          </w:rPr>
          <w:t>22</w:t>
        </w:r>
        <w:r w:rsidR="00532E60">
          <w:rPr>
            <w:webHidden/>
          </w:rPr>
          <w:fldChar w:fldCharType="end"/>
        </w:r>
      </w:hyperlink>
    </w:p>
    <w:p w:rsidR="00532E60" w:rsidRDefault="00E42F82">
      <w:pPr>
        <w:pStyle w:val="INNH1"/>
        <w:rPr>
          <w:rFonts w:asciiTheme="minorHAnsi" w:eastAsiaTheme="minorEastAsia" w:hAnsiTheme="minorHAnsi"/>
          <w:sz w:val="22"/>
          <w:lang w:eastAsia="nb-NO"/>
        </w:rPr>
      </w:pPr>
      <w:hyperlink w:anchor="_Toc387671298" w:history="1">
        <w:r w:rsidR="00532E60" w:rsidRPr="00F12C3D">
          <w:rPr>
            <w:rStyle w:val="Hyperkobling"/>
          </w:rPr>
          <w:t>5</w:t>
        </w:r>
        <w:r w:rsidR="00532E60">
          <w:rPr>
            <w:rFonts w:asciiTheme="minorHAnsi" w:eastAsiaTheme="minorEastAsia" w:hAnsiTheme="minorHAnsi"/>
            <w:sz w:val="22"/>
            <w:lang w:eastAsia="nb-NO"/>
          </w:rPr>
          <w:tab/>
        </w:r>
        <w:r w:rsidR="00532E60" w:rsidRPr="00F12C3D">
          <w:rPr>
            <w:rStyle w:val="Hyperkobling"/>
          </w:rPr>
          <w:t>Avkastning og utbyttepolitikk</w:t>
        </w:r>
        <w:r w:rsidR="00532E60">
          <w:rPr>
            <w:webHidden/>
          </w:rPr>
          <w:tab/>
        </w:r>
        <w:r w:rsidR="00532E60">
          <w:rPr>
            <w:webHidden/>
          </w:rPr>
          <w:fldChar w:fldCharType="begin"/>
        </w:r>
        <w:r w:rsidR="00532E60">
          <w:rPr>
            <w:webHidden/>
          </w:rPr>
          <w:instrText xml:space="preserve"> PAGEREF _Toc387671298 \h </w:instrText>
        </w:r>
        <w:r w:rsidR="00532E60">
          <w:rPr>
            <w:webHidden/>
          </w:rPr>
        </w:r>
        <w:r w:rsidR="00532E60">
          <w:rPr>
            <w:webHidden/>
          </w:rPr>
          <w:fldChar w:fldCharType="separate"/>
        </w:r>
        <w:r w:rsidR="00532E60">
          <w:rPr>
            <w:webHidden/>
          </w:rPr>
          <w:t>23</w:t>
        </w:r>
        <w:r w:rsidR="00532E60">
          <w:rPr>
            <w:webHidden/>
          </w:rPr>
          <w:fldChar w:fldCharType="end"/>
        </w:r>
      </w:hyperlink>
    </w:p>
    <w:p w:rsidR="00E2388A" w:rsidRDefault="007A5301" w:rsidP="00975F48">
      <w:pPr>
        <w:pStyle w:val="Overskrift1"/>
        <w:numPr>
          <w:ilvl w:val="0"/>
          <w:numId w:val="0"/>
        </w:numPr>
        <w:ind w:left="432"/>
      </w:pPr>
      <w:r>
        <w:fldChar w:fldCharType="end"/>
      </w:r>
      <w:bookmarkStart w:id="2" w:name="_Toc271617069"/>
      <w:bookmarkEnd w:id="1"/>
    </w:p>
    <w:p w:rsidR="00942428" w:rsidRDefault="00942428">
      <w:pPr>
        <w:spacing w:after="200" w:line="276" w:lineRule="auto"/>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br w:type="page"/>
      </w:r>
    </w:p>
    <w:p w:rsidR="00E2388A" w:rsidRDefault="00E2388A" w:rsidP="00E2388A">
      <w:pPr>
        <w:rPr>
          <w:rFonts w:asciiTheme="majorHAnsi" w:eastAsiaTheme="majorEastAsia" w:hAnsiTheme="majorHAnsi" w:cstheme="majorBidi"/>
          <w:color w:val="000000" w:themeColor="text1"/>
          <w:sz w:val="28"/>
          <w:szCs w:val="28"/>
        </w:rPr>
      </w:pPr>
    </w:p>
    <w:p w:rsidR="00532E60" w:rsidRDefault="007A5301">
      <w:pPr>
        <w:pStyle w:val="Figurliste"/>
        <w:tabs>
          <w:tab w:val="right" w:leader="dot" w:pos="9062"/>
        </w:tabs>
        <w:rPr>
          <w:rFonts w:asciiTheme="minorHAnsi" w:eastAsiaTheme="minorEastAsia" w:hAnsiTheme="minorHAnsi" w:cstheme="minorBidi"/>
          <w:noProof/>
          <w:sz w:val="22"/>
          <w:szCs w:val="22"/>
        </w:rPr>
      </w:pPr>
      <w:r>
        <w:fldChar w:fldCharType="begin"/>
      </w:r>
      <w:r w:rsidR="00E2388A">
        <w:instrText xml:space="preserve"> TOC \h \z \c "Tabell" </w:instrText>
      </w:r>
      <w:r>
        <w:fldChar w:fldCharType="separate"/>
      </w:r>
      <w:hyperlink w:anchor="_Toc387671299" w:history="1">
        <w:r w:rsidR="00532E60" w:rsidRPr="004C6DFA">
          <w:rPr>
            <w:rStyle w:val="Hyperkobling"/>
            <w:noProof/>
          </w:rPr>
          <w:t>Tabell 1 Datterselskap og tilknyttede selskap</w:t>
        </w:r>
        <w:r w:rsidR="00532E60">
          <w:rPr>
            <w:noProof/>
            <w:webHidden/>
          </w:rPr>
          <w:tab/>
        </w:r>
        <w:r w:rsidR="00532E60">
          <w:rPr>
            <w:noProof/>
            <w:webHidden/>
          </w:rPr>
          <w:fldChar w:fldCharType="begin"/>
        </w:r>
        <w:r w:rsidR="00532E60">
          <w:rPr>
            <w:noProof/>
            <w:webHidden/>
          </w:rPr>
          <w:instrText xml:space="preserve"> PAGEREF _Toc387671299 \h </w:instrText>
        </w:r>
        <w:r w:rsidR="00532E60">
          <w:rPr>
            <w:noProof/>
            <w:webHidden/>
          </w:rPr>
        </w:r>
        <w:r w:rsidR="00532E60">
          <w:rPr>
            <w:noProof/>
            <w:webHidden/>
          </w:rPr>
          <w:fldChar w:fldCharType="separate"/>
        </w:r>
        <w:r w:rsidR="00532E60">
          <w:rPr>
            <w:noProof/>
            <w:webHidden/>
          </w:rPr>
          <w:t>2</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00" w:history="1">
        <w:r w:rsidR="00532E60" w:rsidRPr="004C6DFA">
          <w:rPr>
            <w:rStyle w:val="Hyperkobling"/>
            <w:noProof/>
          </w:rPr>
          <w:t>Tabell 2 Oversikt kapital</w:t>
        </w:r>
        <w:r w:rsidR="00532E60">
          <w:rPr>
            <w:noProof/>
            <w:webHidden/>
          </w:rPr>
          <w:tab/>
        </w:r>
        <w:r w:rsidR="00532E60">
          <w:rPr>
            <w:noProof/>
            <w:webHidden/>
          </w:rPr>
          <w:fldChar w:fldCharType="begin"/>
        </w:r>
        <w:r w:rsidR="00532E60">
          <w:rPr>
            <w:noProof/>
            <w:webHidden/>
          </w:rPr>
          <w:instrText xml:space="preserve"> PAGEREF _Toc387671300 \h </w:instrText>
        </w:r>
        <w:r w:rsidR="00532E60">
          <w:rPr>
            <w:noProof/>
            <w:webHidden/>
          </w:rPr>
        </w:r>
        <w:r w:rsidR="00532E60">
          <w:rPr>
            <w:noProof/>
            <w:webHidden/>
          </w:rPr>
          <w:fldChar w:fldCharType="separate"/>
        </w:r>
        <w:r w:rsidR="00532E60">
          <w:rPr>
            <w:noProof/>
            <w:webHidden/>
          </w:rPr>
          <w:t>3</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01" w:history="1">
        <w:r w:rsidR="00532E60" w:rsidRPr="004C6DFA">
          <w:rPr>
            <w:rStyle w:val="Hyperkobling"/>
            <w:noProof/>
          </w:rPr>
          <w:t>Tabell 3 Ansvarlige lån / fondsobligasjon</w:t>
        </w:r>
        <w:r w:rsidR="00532E60">
          <w:rPr>
            <w:noProof/>
            <w:webHidden/>
          </w:rPr>
          <w:tab/>
        </w:r>
        <w:r w:rsidR="00532E60">
          <w:rPr>
            <w:noProof/>
            <w:webHidden/>
          </w:rPr>
          <w:fldChar w:fldCharType="begin"/>
        </w:r>
        <w:r w:rsidR="00532E60">
          <w:rPr>
            <w:noProof/>
            <w:webHidden/>
          </w:rPr>
          <w:instrText xml:space="preserve"> PAGEREF _Toc387671301 \h </w:instrText>
        </w:r>
        <w:r w:rsidR="00532E60">
          <w:rPr>
            <w:noProof/>
            <w:webHidden/>
          </w:rPr>
        </w:r>
        <w:r w:rsidR="00532E60">
          <w:rPr>
            <w:noProof/>
            <w:webHidden/>
          </w:rPr>
          <w:fldChar w:fldCharType="separate"/>
        </w:r>
        <w:r w:rsidR="00532E60">
          <w:rPr>
            <w:noProof/>
            <w:webHidden/>
          </w:rPr>
          <w:t>4</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02" w:history="1">
        <w:r w:rsidR="00532E60" w:rsidRPr="004C6DFA">
          <w:rPr>
            <w:rStyle w:val="Hyperkobling"/>
            <w:noProof/>
          </w:rPr>
          <w:t>Tabell 4 Beregningsgrunnlag og kapital</w:t>
        </w:r>
        <w:r w:rsidR="00532E60">
          <w:rPr>
            <w:noProof/>
            <w:webHidden/>
          </w:rPr>
          <w:tab/>
        </w:r>
        <w:r w:rsidR="00532E60">
          <w:rPr>
            <w:noProof/>
            <w:webHidden/>
          </w:rPr>
          <w:fldChar w:fldCharType="begin"/>
        </w:r>
        <w:r w:rsidR="00532E60">
          <w:rPr>
            <w:noProof/>
            <w:webHidden/>
          </w:rPr>
          <w:instrText xml:space="preserve"> PAGEREF _Toc387671302 \h </w:instrText>
        </w:r>
        <w:r w:rsidR="00532E60">
          <w:rPr>
            <w:noProof/>
            <w:webHidden/>
          </w:rPr>
        </w:r>
        <w:r w:rsidR="00532E60">
          <w:rPr>
            <w:noProof/>
            <w:webHidden/>
          </w:rPr>
          <w:fldChar w:fldCharType="separate"/>
        </w:r>
        <w:r w:rsidR="00532E60">
          <w:rPr>
            <w:noProof/>
            <w:webHidden/>
          </w:rPr>
          <w:t>5</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03" w:history="1">
        <w:r w:rsidR="00532E60" w:rsidRPr="004C6DFA">
          <w:rPr>
            <w:rStyle w:val="Hyperkobling"/>
            <w:noProof/>
          </w:rPr>
          <w:t>Tabell 5 Kapitaldekning</w:t>
        </w:r>
        <w:r w:rsidR="00532E60">
          <w:rPr>
            <w:noProof/>
            <w:webHidden/>
          </w:rPr>
          <w:tab/>
        </w:r>
        <w:r w:rsidR="00532E60">
          <w:rPr>
            <w:noProof/>
            <w:webHidden/>
          </w:rPr>
          <w:fldChar w:fldCharType="begin"/>
        </w:r>
        <w:r w:rsidR="00532E60">
          <w:rPr>
            <w:noProof/>
            <w:webHidden/>
          </w:rPr>
          <w:instrText xml:space="preserve"> PAGEREF _Toc387671303 \h </w:instrText>
        </w:r>
        <w:r w:rsidR="00532E60">
          <w:rPr>
            <w:noProof/>
            <w:webHidden/>
          </w:rPr>
        </w:r>
        <w:r w:rsidR="00532E60">
          <w:rPr>
            <w:noProof/>
            <w:webHidden/>
          </w:rPr>
          <w:fldChar w:fldCharType="separate"/>
        </w:r>
        <w:r w:rsidR="00532E60">
          <w:rPr>
            <w:noProof/>
            <w:webHidden/>
          </w:rPr>
          <w:t>6</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04" w:history="1">
        <w:r w:rsidR="00532E60" w:rsidRPr="004C6DFA">
          <w:rPr>
            <w:rStyle w:val="Hyperkobling"/>
            <w:noProof/>
          </w:rPr>
          <w:t>Tabell 6 Pilar II - Prinsipper</w:t>
        </w:r>
        <w:r w:rsidR="00532E60">
          <w:rPr>
            <w:noProof/>
            <w:webHidden/>
          </w:rPr>
          <w:tab/>
        </w:r>
        <w:r w:rsidR="00532E60">
          <w:rPr>
            <w:noProof/>
            <w:webHidden/>
          </w:rPr>
          <w:fldChar w:fldCharType="begin"/>
        </w:r>
        <w:r w:rsidR="00532E60">
          <w:rPr>
            <w:noProof/>
            <w:webHidden/>
          </w:rPr>
          <w:instrText xml:space="preserve"> PAGEREF _Toc387671304 \h </w:instrText>
        </w:r>
        <w:r w:rsidR="00532E60">
          <w:rPr>
            <w:noProof/>
            <w:webHidden/>
          </w:rPr>
        </w:r>
        <w:r w:rsidR="00532E60">
          <w:rPr>
            <w:noProof/>
            <w:webHidden/>
          </w:rPr>
          <w:fldChar w:fldCharType="separate"/>
        </w:r>
        <w:r w:rsidR="00532E60">
          <w:rPr>
            <w:noProof/>
            <w:webHidden/>
          </w:rPr>
          <w:t>9</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05" w:history="1">
        <w:r w:rsidR="00532E60" w:rsidRPr="004C6DFA">
          <w:rPr>
            <w:rStyle w:val="Hyperkobling"/>
            <w:noProof/>
          </w:rPr>
          <w:t>Tabell 7 Kreditteksponering - kundegrupper</w:t>
        </w:r>
        <w:r w:rsidR="00532E60">
          <w:rPr>
            <w:noProof/>
            <w:webHidden/>
          </w:rPr>
          <w:tab/>
        </w:r>
        <w:r w:rsidR="00532E60">
          <w:rPr>
            <w:noProof/>
            <w:webHidden/>
          </w:rPr>
          <w:fldChar w:fldCharType="begin"/>
        </w:r>
        <w:r w:rsidR="00532E60">
          <w:rPr>
            <w:noProof/>
            <w:webHidden/>
          </w:rPr>
          <w:instrText xml:space="preserve"> PAGEREF _Toc387671305 \h </w:instrText>
        </w:r>
        <w:r w:rsidR="00532E60">
          <w:rPr>
            <w:noProof/>
            <w:webHidden/>
          </w:rPr>
        </w:r>
        <w:r w:rsidR="00532E60">
          <w:rPr>
            <w:noProof/>
            <w:webHidden/>
          </w:rPr>
          <w:fldChar w:fldCharType="separate"/>
        </w:r>
        <w:r w:rsidR="00532E60">
          <w:rPr>
            <w:noProof/>
            <w:webHidden/>
          </w:rPr>
          <w:t>13</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06" w:history="1">
        <w:r w:rsidR="00532E60" w:rsidRPr="004C6DFA">
          <w:rPr>
            <w:rStyle w:val="Hyperkobling"/>
            <w:noProof/>
          </w:rPr>
          <w:t>Tabell 8 Kreditteksponering – nedskrivinger o.l</w:t>
        </w:r>
        <w:r w:rsidR="00532E60">
          <w:rPr>
            <w:noProof/>
            <w:webHidden/>
          </w:rPr>
          <w:tab/>
        </w:r>
        <w:r w:rsidR="00532E60">
          <w:rPr>
            <w:noProof/>
            <w:webHidden/>
          </w:rPr>
          <w:fldChar w:fldCharType="begin"/>
        </w:r>
        <w:r w:rsidR="00532E60">
          <w:rPr>
            <w:noProof/>
            <w:webHidden/>
          </w:rPr>
          <w:instrText xml:space="preserve"> PAGEREF _Toc387671306 \h </w:instrText>
        </w:r>
        <w:r w:rsidR="00532E60">
          <w:rPr>
            <w:noProof/>
            <w:webHidden/>
          </w:rPr>
        </w:r>
        <w:r w:rsidR="00532E60">
          <w:rPr>
            <w:noProof/>
            <w:webHidden/>
          </w:rPr>
          <w:fldChar w:fldCharType="separate"/>
        </w:r>
        <w:r w:rsidR="00532E60">
          <w:rPr>
            <w:noProof/>
            <w:webHidden/>
          </w:rPr>
          <w:t>14</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07" w:history="1">
        <w:r w:rsidR="00532E60" w:rsidRPr="004C6DFA">
          <w:rPr>
            <w:rStyle w:val="Hyperkobling"/>
            <w:noProof/>
          </w:rPr>
          <w:t>Tabell 9 Kreditteksponering – forfalte, ikke nedskrevne utlån</w:t>
        </w:r>
        <w:r w:rsidR="00532E60">
          <w:rPr>
            <w:noProof/>
            <w:webHidden/>
          </w:rPr>
          <w:tab/>
        </w:r>
        <w:r w:rsidR="00532E60">
          <w:rPr>
            <w:noProof/>
            <w:webHidden/>
          </w:rPr>
          <w:fldChar w:fldCharType="begin"/>
        </w:r>
        <w:r w:rsidR="00532E60">
          <w:rPr>
            <w:noProof/>
            <w:webHidden/>
          </w:rPr>
          <w:instrText xml:space="preserve"> PAGEREF _Toc387671307 \h </w:instrText>
        </w:r>
        <w:r w:rsidR="00532E60">
          <w:rPr>
            <w:noProof/>
            <w:webHidden/>
          </w:rPr>
        </w:r>
        <w:r w:rsidR="00532E60">
          <w:rPr>
            <w:noProof/>
            <w:webHidden/>
          </w:rPr>
          <w:fldChar w:fldCharType="separate"/>
        </w:r>
        <w:r w:rsidR="00532E60">
          <w:rPr>
            <w:noProof/>
            <w:webHidden/>
          </w:rPr>
          <w:t>14</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08" w:history="1">
        <w:r w:rsidR="00532E60" w:rsidRPr="004C6DFA">
          <w:rPr>
            <w:rStyle w:val="Hyperkobling"/>
            <w:noProof/>
          </w:rPr>
          <w:t>Tabell 10 Eksponering markedsrisiko – renterisiko</w:t>
        </w:r>
        <w:r w:rsidR="00532E60">
          <w:rPr>
            <w:noProof/>
            <w:webHidden/>
          </w:rPr>
          <w:tab/>
        </w:r>
        <w:r w:rsidR="00532E60">
          <w:rPr>
            <w:noProof/>
            <w:webHidden/>
          </w:rPr>
          <w:fldChar w:fldCharType="begin"/>
        </w:r>
        <w:r w:rsidR="00532E60">
          <w:rPr>
            <w:noProof/>
            <w:webHidden/>
          </w:rPr>
          <w:instrText xml:space="preserve"> PAGEREF _Toc387671308 \h </w:instrText>
        </w:r>
        <w:r w:rsidR="00532E60">
          <w:rPr>
            <w:noProof/>
            <w:webHidden/>
          </w:rPr>
        </w:r>
        <w:r w:rsidR="00532E60">
          <w:rPr>
            <w:noProof/>
            <w:webHidden/>
          </w:rPr>
          <w:fldChar w:fldCharType="separate"/>
        </w:r>
        <w:r w:rsidR="00532E60">
          <w:rPr>
            <w:noProof/>
            <w:webHidden/>
          </w:rPr>
          <w:t>16</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09" w:history="1">
        <w:r w:rsidR="00532E60" w:rsidRPr="004C6DFA">
          <w:rPr>
            <w:rStyle w:val="Hyperkobling"/>
            <w:noProof/>
          </w:rPr>
          <w:t>Tabell 11 Eksponering markedsrisiko - valutarisiko</w:t>
        </w:r>
        <w:r w:rsidR="00532E60">
          <w:rPr>
            <w:noProof/>
            <w:webHidden/>
          </w:rPr>
          <w:tab/>
        </w:r>
        <w:r w:rsidR="00532E60">
          <w:rPr>
            <w:noProof/>
            <w:webHidden/>
          </w:rPr>
          <w:fldChar w:fldCharType="begin"/>
        </w:r>
        <w:r w:rsidR="00532E60">
          <w:rPr>
            <w:noProof/>
            <w:webHidden/>
          </w:rPr>
          <w:instrText xml:space="preserve"> PAGEREF _Toc387671309 \h </w:instrText>
        </w:r>
        <w:r w:rsidR="00532E60">
          <w:rPr>
            <w:noProof/>
            <w:webHidden/>
          </w:rPr>
        </w:r>
        <w:r w:rsidR="00532E60">
          <w:rPr>
            <w:noProof/>
            <w:webHidden/>
          </w:rPr>
          <w:fldChar w:fldCharType="separate"/>
        </w:r>
        <w:r w:rsidR="00532E60">
          <w:rPr>
            <w:noProof/>
            <w:webHidden/>
          </w:rPr>
          <w:t>17</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10" w:history="1">
        <w:r w:rsidR="00532E60" w:rsidRPr="004C6DFA">
          <w:rPr>
            <w:rStyle w:val="Hyperkobling"/>
            <w:noProof/>
          </w:rPr>
          <w:t>Tabell 12 Eksponering markedsrisiko - aksjerisiko</w:t>
        </w:r>
        <w:r w:rsidR="00532E60">
          <w:rPr>
            <w:noProof/>
            <w:webHidden/>
          </w:rPr>
          <w:tab/>
        </w:r>
        <w:r w:rsidR="00532E60">
          <w:rPr>
            <w:noProof/>
            <w:webHidden/>
          </w:rPr>
          <w:fldChar w:fldCharType="begin"/>
        </w:r>
        <w:r w:rsidR="00532E60">
          <w:rPr>
            <w:noProof/>
            <w:webHidden/>
          </w:rPr>
          <w:instrText xml:space="preserve"> PAGEREF _Toc387671310 \h </w:instrText>
        </w:r>
        <w:r w:rsidR="00532E60">
          <w:rPr>
            <w:noProof/>
            <w:webHidden/>
          </w:rPr>
        </w:r>
        <w:r w:rsidR="00532E60">
          <w:rPr>
            <w:noProof/>
            <w:webHidden/>
          </w:rPr>
          <w:fldChar w:fldCharType="separate"/>
        </w:r>
        <w:r w:rsidR="00532E60">
          <w:rPr>
            <w:noProof/>
            <w:webHidden/>
          </w:rPr>
          <w:t>18</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11" w:history="1">
        <w:r w:rsidR="00532E60" w:rsidRPr="004C6DFA">
          <w:rPr>
            <w:rStyle w:val="Hyperkobling"/>
            <w:noProof/>
          </w:rPr>
          <w:t>Tabell 13 Eksponering likviditetsrisiko – likviditetsindikatorer</w:t>
        </w:r>
        <w:r w:rsidR="00532E60">
          <w:rPr>
            <w:noProof/>
            <w:webHidden/>
          </w:rPr>
          <w:tab/>
        </w:r>
        <w:r w:rsidR="00532E60">
          <w:rPr>
            <w:noProof/>
            <w:webHidden/>
          </w:rPr>
          <w:fldChar w:fldCharType="begin"/>
        </w:r>
        <w:r w:rsidR="00532E60">
          <w:rPr>
            <w:noProof/>
            <w:webHidden/>
          </w:rPr>
          <w:instrText xml:space="preserve"> PAGEREF _Toc387671311 \h </w:instrText>
        </w:r>
        <w:r w:rsidR="00532E60">
          <w:rPr>
            <w:noProof/>
            <w:webHidden/>
          </w:rPr>
        </w:r>
        <w:r w:rsidR="00532E60">
          <w:rPr>
            <w:noProof/>
            <w:webHidden/>
          </w:rPr>
          <w:fldChar w:fldCharType="separate"/>
        </w:r>
        <w:r w:rsidR="00532E60">
          <w:rPr>
            <w:noProof/>
            <w:webHidden/>
          </w:rPr>
          <w:t>19</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12" w:history="1">
        <w:r w:rsidR="00532E60" w:rsidRPr="004C6DFA">
          <w:rPr>
            <w:rStyle w:val="Hyperkobling"/>
            <w:noProof/>
          </w:rPr>
          <w:t>Tabell 14 Overføring av boliglån SSB Boligkreditt</w:t>
        </w:r>
        <w:r w:rsidR="00532E60">
          <w:rPr>
            <w:noProof/>
            <w:webHidden/>
          </w:rPr>
          <w:tab/>
        </w:r>
        <w:r w:rsidR="00532E60">
          <w:rPr>
            <w:noProof/>
            <w:webHidden/>
          </w:rPr>
          <w:fldChar w:fldCharType="begin"/>
        </w:r>
        <w:r w:rsidR="00532E60">
          <w:rPr>
            <w:noProof/>
            <w:webHidden/>
          </w:rPr>
          <w:instrText xml:space="preserve"> PAGEREF _Toc387671312 \h </w:instrText>
        </w:r>
        <w:r w:rsidR="00532E60">
          <w:rPr>
            <w:noProof/>
            <w:webHidden/>
          </w:rPr>
        </w:r>
        <w:r w:rsidR="00532E60">
          <w:rPr>
            <w:noProof/>
            <w:webHidden/>
          </w:rPr>
          <w:fldChar w:fldCharType="separate"/>
        </w:r>
        <w:r w:rsidR="00532E60">
          <w:rPr>
            <w:noProof/>
            <w:webHidden/>
          </w:rPr>
          <w:t>22</w:t>
        </w:r>
        <w:r w:rsidR="00532E60">
          <w:rPr>
            <w:noProof/>
            <w:webHidden/>
          </w:rPr>
          <w:fldChar w:fldCharType="end"/>
        </w:r>
      </w:hyperlink>
    </w:p>
    <w:p w:rsidR="00E5152E" w:rsidRDefault="007A5301" w:rsidP="00975F48">
      <w:pPr>
        <w:pStyle w:val="Overskrift1"/>
        <w:numPr>
          <w:ilvl w:val="0"/>
          <w:numId w:val="0"/>
        </w:numPr>
        <w:ind w:left="432"/>
      </w:pPr>
      <w:r>
        <w:fldChar w:fldCharType="end"/>
      </w:r>
    </w:p>
    <w:p w:rsidR="00532E60" w:rsidRDefault="00E5152E" w:rsidP="00E5152E">
      <w:pPr>
        <w:rPr>
          <w:noProof/>
        </w:rPr>
      </w:pPr>
      <w:r>
        <w:br w:type="page"/>
      </w:r>
      <w:r w:rsidR="007A5301">
        <w:fldChar w:fldCharType="begin"/>
      </w:r>
      <w:r w:rsidR="00E2388A">
        <w:instrText xml:space="preserve"> TOC \h \z \c "Figur" </w:instrText>
      </w:r>
      <w:r w:rsidR="007A5301">
        <w:fldChar w:fldCharType="separate"/>
      </w:r>
    </w:p>
    <w:p w:rsidR="00532E60" w:rsidRDefault="00532E60">
      <w:pPr>
        <w:pStyle w:val="Figurliste"/>
        <w:tabs>
          <w:tab w:val="right" w:leader="dot" w:pos="9062"/>
        </w:tabs>
        <w:rPr>
          <w:rFonts w:asciiTheme="minorHAnsi" w:eastAsiaTheme="minorEastAsia" w:hAnsiTheme="minorHAnsi" w:cstheme="minorBidi"/>
          <w:noProof/>
          <w:sz w:val="22"/>
          <w:szCs w:val="22"/>
        </w:rPr>
      </w:pPr>
      <w:hyperlink w:anchor="_Toc387671313" w:history="1">
        <w:r w:rsidRPr="00D85B7D">
          <w:rPr>
            <w:rStyle w:val="Hyperkobling"/>
            <w:noProof/>
          </w:rPr>
          <w:t>Figur 1 Fremtidige kapitalkrav</w:t>
        </w:r>
        <w:r>
          <w:rPr>
            <w:noProof/>
            <w:webHidden/>
          </w:rPr>
          <w:tab/>
        </w:r>
        <w:r>
          <w:rPr>
            <w:noProof/>
            <w:webHidden/>
          </w:rPr>
          <w:fldChar w:fldCharType="begin"/>
        </w:r>
        <w:r>
          <w:rPr>
            <w:noProof/>
            <w:webHidden/>
          </w:rPr>
          <w:instrText xml:space="preserve"> PAGEREF _Toc387671313 \h </w:instrText>
        </w:r>
        <w:r>
          <w:rPr>
            <w:noProof/>
            <w:webHidden/>
          </w:rPr>
        </w:r>
        <w:r>
          <w:rPr>
            <w:noProof/>
            <w:webHidden/>
          </w:rPr>
          <w:fldChar w:fldCharType="separate"/>
        </w:r>
        <w:r>
          <w:rPr>
            <w:noProof/>
            <w:webHidden/>
          </w:rPr>
          <w:t>7</w:t>
        </w:r>
        <w:r>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14" w:history="1">
        <w:r w:rsidR="00532E60" w:rsidRPr="00D85B7D">
          <w:rPr>
            <w:rStyle w:val="Hyperkobling"/>
            <w:noProof/>
          </w:rPr>
          <w:t>Figur 2 Kapitalplan</w:t>
        </w:r>
        <w:r w:rsidR="00532E60">
          <w:rPr>
            <w:noProof/>
            <w:webHidden/>
          </w:rPr>
          <w:tab/>
        </w:r>
        <w:r w:rsidR="00532E60">
          <w:rPr>
            <w:noProof/>
            <w:webHidden/>
          </w:rPr>
          <w:fldChar w:fldCharType="begin"/>
        </w:r>
        <w:r w:rsidR="00532E60">
          <w:rPr>
            <w:noProof/>
            <w:webHidden/>
          </w:rPr>
          <w:instrText xml:space="preserve"> PAGEREF _Toc387671314 \h </w:instrText>
        </w:r>
        <w:r w:rsidR="00532E60">
          <w:rPr>
            <w:noProof/>
            <w:webHidden/>
          </w:rPr>
        </w:r>
        <w:r w:rsidR="00532E60">
          <w:rPr>
            <w:noProof/>
            <w:webHidden/>
          </w:rPr>
          <w:fldChar w:fldCharType="separate"/>
        </w:r>
        <w:r w:rsidR="00532E60">
          <w:rPr>
            <w:noProof/>
            <w:webHidden/>
          </w:rPr>
          <w:t>9</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15" w:history="1">
        <w:r w:rsidR="00532E60" w:rsidRPr="00D85B7D">
          <w:rPr>
            <w:rStyle w:val="Hyperkobling"/>
            <w:noProof/>
          </w:rPr>
          <w:t>Figur 3 Kapitalfordeling ICAAP</w:t>
        </w:r>
        <w:r w:rsidR="00532E60">
          <w:rPr>
            <w:noProof/>
            <w:webHidden/>
          </w:rPr>
          <w:tab/>
        </w:r>
        <w:r w:rsidR="00532E60">
          <w:rPr>
            <w:noProof/>
            <w:webHidden/>
          </w:rPr>
          <w:fldChar w:fldCharType="begin"/>
        </w:r>
        <w:r w:rsidR="00532E60">
          <w:rPr>
            <w:noProof/>
            <w:webHidden/>
          </w:rPr>
          <w:instrText xml:space="preserve"> PAGEREF _Toc387671315 \h </w:instrText>
        </w:r>
        <w:r w:rsidR="00532E60">
          <w:rPr>
            <w:noProof/>
            <w:webHidden/>
          </w:rPr>
        </w:r>
        <w:r w:rsidR="00532E60">
          <w:rPr>
            <w:noProof/>
            <w:webHidden/>
          </w:rPr>
          <w:fldChar w:fldCharType="separate"/>
        </w:r>
        <w:r w:rsidR="00532E60">
          <w:rPr>
            <w:noProof/>
            <w:webHidden/>
          </w:rPr>
          <w:t>10</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16" w:history="1">
        <w:r w:rsidR="00532E60" w:rsidRPr="00D85B7D">
          <w:rPr>
            <w:rStyle w:val="Hyperkobling"/>
            <w:noProof/>
          </w:rPr>
          <w:t>Figur 4 Risikokategorier</w:t>
        </w:r>
        <w:r w:rsidR="00532E60">
          <w:rPr>
            <w:noProof/>
            <w:webHidden/>
          </w:rPr>
          <w:tab/>
        </w:r>
        <w:r w:rsidR="00532E60">
          <w:rPr>
            <w:noProof/>
            <w:webHidden/>
          </w:rPr>
          <w:fldChar w:fldCharType="begin"/>
        </w:r>
        <w:r w:rsidR="00532E60">
          <w:rPr>
            <w:noProof/>
            <w:webHidden/>
          </w:rPr>
          <w:instrText xml:space="preserve"> PAGEREF _Toc387671316 \h </w:instrText>
        </w:r>
        <w:r w:rsidR="00532E60">
          <w:rPr>
            <w:noProof/>
            <w:webHidden/>
          </w:rPr>
        </w:r>
        <w:r w:rsidR="00532E60">
          <w:rPr>
            <w:noProof/>
            <w:webHidden/>
          </w:rPr>
          <w:fldChar w:fldCharType="separate"/>
        </w:r>
        <w:r w:rsidR="00532E60">
          <w:rPr>
            <w:noProof/>
            <w:webHidden/>
          </w:rPr>
          <w:t>11</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17" w:history="1">
        <w:r w:rsidR="00532E60" w:rsidRPr="00D85B7D">
          <w:rPr>
            <w:rStyle w:val="Hyperkobling"/>
            <w:noProof/>
          </w:rPr>
          <w:t>Figur 5 Kredittrisiko – elementer i konsentrasjonsrisiko</w:t>
        </w:r>
        <w:r w:rsidR="00532E60">
          <w:rPr>
            <w:noProof/>
            <w:webHidden/>
          </w:rPr>
          <w:tab/>
        </w:r>
        <w:r w:rsidR="00532E60">
          <w:rPr>
            <w:noProof/>
            <w:webHidden/>
          </w:rPr>
          <w:fldChar w:fldCharType="begin"/>
        </w:r>
        <w:r w:rsidR="00532E60">
          <w:rPr>
            <w:noProof/>
            <w:webHidden/>
          </w:rPr>
          <w:instrText xml:space="preserve"> PAGEREF _Toc387671317 \h </w:instrText>
        </w:r>
        <w:r w:rsidR="00532E60">
          <w:rPr>
            <w:noProof/>
            <w:webHidden/>
          </w:rPr>
        </w:r>
        <w:r w:rsidR="00532E60">
          <w:rPr>
            <w:noProof/>
            <w:webHidden/>
          </w:rPr>
          <w:fldChar w:fldCharType="separate"/>
        </w:r>
        <w:r w:rsidR="00532E60">
          <w:rPr>
            <w:noProof/>
            <w:webHidden/>
          </w:rPr>
          <w:t>15</w:t>
        </w:r>
        <w:r w:rsidR="00532E60">
          <w:rPr>
            <w:noProof/>
            <w:webHidden/>
          </w:rPr>
          <w:fldChar w:fldCharType="end"/>
        </w:r>
      </w:hyperlink>
    </w:p>
    <w:p w:rsidR="00532E60" w:rsidRDefault="00E42F82">
      <w:pPr>
        <w:pStyle w:val="Figurliste"/>
        <w:tabs>
          <w:tab w:val="right" w:leader="dot" w:pos="9062"/>
        </w:tabs>
        <w:rPr>
          <w:rFonts w:asciiTheme="minorHAnsi" w:eastAsiaTheme="minorEastAsia" w:hAnsiTheme="minorHAnsi" w:cstheme="minorBidi"/>
          <w:noProof/>
          <w:sz w:val="22"/>
          <w:szCs w:val="22"/>
        </w:rPr>
      </w:pPr>
      <w:hyperlink w:anchor="_Toc387671318" w:history="1">
        <w:r w:rsidR="00532E60" w:rsidRPr="00D85B7D">
          <w:rPr>
            <w:rStyle w:val="Hyperkobling"/>
            <w:noProof/>
          </w:rPr>
          <w:t>Figur 6 Eksponering operasjonell risiko - FRAM</w:t>
        </w:r>
        <w:r w:rsidR="00532E60">
          <w:rPr>
            <w:noProof/>
            <w:webHidden/>
          </w:rPr>
          <w:tab/>
        </w:r>
        <w:r w:rsidR="00532E60">
          <w:rPr>
            <w:noProof/>
            <w:webHidden/>
          </w:rPr>
          <w:fldChar w:fldCharType="begin"/>
        </w:r>
        <w:r w:rsidR="00532E60">
          <w:rPr>
            <w:noProof/>
            <w:webHidden/>
          </w:rPr>
          <w:instrText xml:space="preserve"> PAGEREF _Toc387671318 \h </w:instrText>
        </w:r>
        <w:r w:rsidR="00532E60">
          <w:rPr>
            <w:noProof/>
            <w:webHidden/>
          </w:rPr>
        </w:r>
        <w:r w:rsidR="00532E60">
          <w:rPr>
            <w:noProof/>
            <w:webHidden/>
          </w:rPr>
          <w:fldChar w:fldCharType="separate"/>
        </w:r>
        <w:r w:rsidR="00532E60">
          <w:rPr>
            <w:noProof/>
            <w:webHidden/>
          </w:rPr>
          <w:t>19</w:t>
        </w:r>
        <w:r w:rsidR="00532E60">
          <w:rPr>
            <w:noProof/>
            <w:webHidden/>
          </w:rPr>
          <w:fldChar w:fldCharType="end"/>
        </w:r>
      </w:hyperlink>
    </w:p>
    <w:p w:rsidR="00E2388A" w:rsidRPr="00E2388A" w:rsidRDefault="007A5301" w:rsidP="00975F48">
      <w:pPr>
        <w:pStyle w:val="Overskrift1"/>
        <w:numPr>
          <w:ilvl w:val="0"/>
          <w:numId w:val="0"/>
        </w:numPr>
        <w:ind w:left="432"/>
      </w:pPr>
      <w:r>
        <w:fldChar w:fldCharType="end"/>
      </w:r>
    </w:p>
    <w:p w:rsidR="00DF6E9B" w:rsidRDefault="00DF6E9B" w:rsidP="00975F48">
      <w:pPr>
        <w:pStyle w:val="Overskrift1"/>
        <w:numPr>
          <w:ilvl w:val="0"/>
          <w:numId w:val="0"/>
        </w:numPr>
        <w:sectPr w:rsidR="00DF6E9B" w:rsidSect="0040163D">
          <w:pgSz w:w="11906" w:h="16838"/>
          <w:pgMar w:top="1417" w:right="1417" w:bottom="1417" w:left="1417" w:header="708" w:footer="227" w:gutter="0"/>
          <w:pgNumType w:start="1"/>
          <w:cols w:space="708"/>
          <w:docGrid w:linePitch="360"/>
        </w:sectPr>
      </w:pPr>
    </w:p>
    <w:p w:rsidR="000761BE" w:rsidRPr="00BF5ABC" w:rsidRDefault="009E4CF0" w:rsidP="00975F48">
      <w:pPr>
        <w:pStyle w:val="Overskrift1"/>
        <w:numPr>
          <w:ilvl w:val="0"/>
          <w:numId w:val="24"/>
        </w:numPr>
        <w:rPr>
          <w:color w:val="auto"/>
        </w:rPr>
      </w:pPr>
      <w:bookmarkStart w:id="3" w:name="_Toc387671266"/>
      <w:r w:rsidRPr="00BF5ABC">
        <w:rPr>
          <w:color w:val="auto"/>
        </w:rPr>
        <w:t>Innledni</w:t>
      </w:r>
      <w:bookmarkEnd w:id="2"/>
      <w:r w:rsidRPr="00BF5ABC">
        <w:rPr>
          <w:color w:val="auto"/>
        </w:rPr>
        <w:t>ng</w:t>
      </w:r>
      <w:bookmarkEnd w:id="3"/>
    </w:p>
    <w:p w:rsidR="0091410F" w:rsidRPr="00BF5ABC" w:rsidRDefault="0091410F" w:rsidP="00810EAD">
      <w:pPr>
        <w:jc w:val="both"/>
      </w:pPr>
    </w:p>
    <w:p w:rsidR="009E4CF0" w:rsidRPr="00BF5ABC" w:rsidRDefault="0029368B" w:rsidP="009E4CF0">
      <w:pPr>
        <w:jc w:val="both"/>
      </w:pPr>
      <w:r>
        <w:t>Pilar III rapporten</w:t>
      </w:r>
      <w:r w:rsidR="009E4CF0" w:rsidRPr="00BF5ABC">
        <w:t xml:space="preserve"> gir en beskrivelse av risiko- og kapitalstyring i Sandnes S</w:t>
      </w:r>
      <w:r w:rsidR="00D7648C" w:rsidRPr="00BF5ABC">
        <w:t xml:space="preserve">parebank. Dokumentet dekker </w:t>
      </w:r>
      <w:r w:rsidR="009E4CF0" w:rsidRPr="00BF5ABC">
        <w:t>spesifikke krav i</w:t>
      </w:r>
      <w:r w:rsidR="007C725D">
        <w:t xml:space="preserve"> kapitalkravforskriften </w:t>
      </w:r>
      <w:r w:rsidR="009E4CF0" w:rsidRPr="00BF5ABC">
        <w:t>Del IX om offentliggjøring av fi</w:t>
      </w:r>
      <w:r w:rsidR="00D7648C" w:rsidRPr="00BF5ABC">
        <w:t>nansiell informasjon.</w:t>
      </w:r>
    </w:p>
    <w:p w:rsidR="009E4CF0" w:rsidRPr="00BF5ABC" w:rsidRDefault="009E4CF0" w:rsidP="009E4CF0">
      <w:pPr>
        <w:jc w:val="both"/>
      </w:pPr>
    </w:p>
    <w:p w:rsidR="009E4CF0" w:rsidRPr="00BF5ABC" w:rsidRDefault="00E70176" w:rsidP="009E4CF0">
      <w:pPr>
        <w:jc w:val="both"/>
      </w:pPr>
      <w:r w:rsidRPr="00BF5ABC">
        <w:t>D</w:t>
      </w:r>
      <w:r w:rsidR="009E4CF0" w:rsidRPr="00BF5ABC">
        <w:t xml:space="preserve">okumentet er basert på tall per </w:t>
      </w:r>
      <w:r w:rsidR="009A0373" w:rsidRPr="00BF5ABC">
        <w:t>31.12.201</w:t>
      </w:r>
      <w:r w:rsidR="00BF5ABC" w:rsidRPr="00BF5ABC">
        <w:t>3</w:t>
      </w:r>
      <w:r w:rsidR="009E4CF0" w:rsidRPr="00BF5ABC">
        <w:t xml:space="preserve"> hvor ikke annet fremgår. Dokumentet i sin helhet oppdateres minimum årlig</w:t>
      </w:r>
      <w:r w:rsidR="00CA0C19" w:rsidRPr="00BF5ABC">
        <w:t>. Periodisk</w:t>
      </w:r>
      <w:r w:rsidR="009E4CF0" w:rsidRPr="00BF5ABC">
        <w:t xml:space="preserve"> informasjon om kapitaldekning og minimumskrav til ansvarlig kapital vil være tilgjengelig i bankens kvartalsrapporter. Ved ny informasjon som kan ha vesentlig betydning for vurdering av bankens finansielle stilling, vil dette dokumentet bli oppdatert løpende. </w:t>
      </w:r>
    </w:p>
    <w:p w:rsidR="009E4CF0" w:rsidRPr="00BF5ABC" w:rsidRDefault="009E4CF0" w:rsidP="009E4CF0">
      <w:pPr>
        <w:jc w:val="both"/>
        <w:rPr>
          <w:color w:val="FF0000"/>
        </w:rPr>
      </w:pPr>
    </w:p>
    <w:p w:rsidR="00B4215B" w:rsidRPr="00BF5ABC" w:rsidRDefault="009E4CF0" w:rsidP="009E4CF0">
      <w:pPr>
        <w:jc w:val="both"/>
      </w:pPr>
      <w:r w:rsidRPr="00BF5ABC">
        <w:t xml:space="preserve">For supplerende opplysninger om finansiell stilling og utvikling vises det til bankens års- og kvartalsrapporter som offentliggjøres løpende på bankens hjemmeside – </w:t>
      </w:r>
      <w:hyperlink r:id="rId16" w:history="1">
        <w:r w:rsidR="00B4215B" w:rsidRPr="00BF5ABC">
          <w:rPr>
            <w:rStyle w:val="Hyperkobling"/>
            <w:color w:val="auto"/>
          </w:rPr>
          <w:t>www.sandnes-sparebank.no</w:t>
        </w:r>
      </w:hyperlink>
      <w:r w:rsidR="00B4215B" w:rsidRPr="00BF5ABC">
        <w:t>.</w:t>
      </w:r>
    </w:p>
    <w:p w:rsidR="00B4215B" w:rsidRPr="00BF5ABC" w:rsidRDefault="00B4215B" w:rsidP="009E4CF0">
      <w:pPr>
        <w:jc w:val="both"/>
        <w:rPr>
          <w:color w:val="FF0000"/>
        </w:rPr>
      </w:pPr>
    </w:p>
    <w:p w:rsidR="009E4CF0" w:rsidRDefault="009E4CF0" w:rsidP="009E4CF0">
      <w:pPr>
        <w:jc w:val="both"/>
      </w:pPr>
      <w:r w:rsidRPr="00BF5ABC">
        <w:t xml:space="preserve">Med omtale av banken og/eller konsern i dette dokumentet menes konsernet </w:t>
      </w:r>
      <w:r w:rsidR="004C1ED4" w:rsidRPr="00BF5ABC">
        <w:t>Sandnes Sparebank</w:t>
      </w:r>
      <w:r w:rsidRPr="00BF5ABC">
        <w:t xml:space="preserve">. Med begrepet morbank menes </w:t>
      </w:r>
      <w:r w:rsidR="004C1ED4" w:rsidRPr="00BF5ABC">
        <w:t>Sandnes Sparebank</w:t>
      </w:r>
      <w:r w:rsidRPr="00BF5ABC">
        <w:t xml:space="preserve">. </w:t>
      </w:r>
    </w:p>
    <w:p w:rsidR="00BB4EC3" w:rsidRDefault="00BB4EC3" w:rsidP="009E4CF0">
      <w:pPr>
        <w:jc w:val="both"/>
      </w:pPr>
    </w:p>
    <w:p w:rsidR="00764C23" w:rsidRPr="004379FD" w:rsidRDefault="00601F5E" w:rsidP="004379FD">
      <w:pPr>
        <w:spacing w:after="200" w:line="276" w:lineRule="auto"/>
        <w:rPr>
          <w:rFonts w:asciiTheme="majorHAnsi" w:eastAsiaTheme="majorEastAsia" w:hAnsiTheme="majorHAnsi" w:cstheme="majorBidi"/>
          <w:b/>
          <w:bCs/>
          <w:color w:val="000000" w:themeColor="text1"/>
          <w:sz w:val="28"/>
          <w:szCs w:val="28"/>
        </w:rPr>
      </w:pPr>
      <w:r>
        <w:br w:type="page"/>
      </w:r>
    </w:p>
    <w:p w:rsidR="00BB4EC3" w:rsidRDefault="00300DB1" w:rsidP="00BB4EC3">
      <w:pPr>
        <w:pStyle w:val="Overskrift1"/>
      </w:pPr>
      <w:bookmarkStart w:id="4" w:name="_Toc387671267"/>
      <w:r>
        <w:t>Ansvarlig kapital og kapitalkrav</w:t>
      </w:r>
      <w:bookmarkEnd w:id="4"/>
    </w:p>
    <w:p w:rsidR="00300DB1" w:rsidRPr="00300DB1" w:rsidRDefault="00300DB1" w:rsidP="00300DB1"/>
    <w:p w:rsidR="00BB4EC3" w:rsidRDefault="004379FD" w:rsidP="00BB4EC3">
      <w:pPr>
        <w:pStyle w:val="Overskrift2"/>
      </w:pPr>
      <w:bookmarkStart w:id="5" w:name="_Toc387671268"/>
      <w:r>
        <w:t>Konsolidering</w:t>
      </w:r>
      <w:bookmarkEnd w:id="5"/>
      <w:r>
        <w:t xml:space="preserve"> </w:t>
      </w:r>
    </w:p>
    <w:p w:rsidR="00EC65C0" w:rsidRPr="00EC65C0" w:rsidRDefault="00EC65C0" w:rsidP="00EC65C0"/>
    <w:p w:rsidR="00BB4EC3" w:rsidRDefault="00AA39E6" w:rsidP="00BB4EC3">
      <w:r>
        <w:t>Konsernet Sandnes Sparebank bes</w:t>
      </w:r>
      <w:r w:rsidR="0029368B">
        <w:t>tår av morbank og datterselskap. Oversikten under viser oversikt over datterselskap og tilknyttede selskap ved utgangen av 2013:</w:t>
      </w:r>
    </w:p>
    <w:p w:rsidR="00CB49EC" w:rsidRDefault="00CB49EC" w:rsidP="00CB49EC">
      <w:pPr>
        <w:pStyle w:val="Bildetekst"/>
      </w:pPr>
    </w:p>
    <w:p w:rsidR="00CB49EC" w:rsidRDefault="00CB49EC" w:rsidP="00CB49EC">
      <w:pPr>
        <w:pStyle w:val="Bildetekst"/>
      </w:pPr>
      <w:bookmarkStart w:id="6" w:name="_Toc387671299"/>
      <w:r>
        <w:t xml:space="preserve">Tabell </w:t>
      </w:r>
      <w:r w:rsidR="00E42F82">
        <w:fldChar w:fldCharType="begin"/>
      </w:r>
      <w:r w:rsidR="00E42F82">
        <w:instrText xml:space="preserve"> SEQ Tabell \* ARABIC </w:instrText>
      </w:r>
      <w:r w:rsidR="00E42F82">
        <w:fldChar w:fldCharType="separate"/>
      </w:r>
      <w:r>
        <w:rPr>
          <w:noProof/>
        </w:rPr>
        <w:t>1</w:t>
      </w:r>
      <w:r w:rsidR="00E42F82">
        <w:rPr>
          <w:noProof/>
        </w:rPr>
        <w:fldChar w:fldCharType="end"/>
      </w:r>
      <w:r>
        <w:t xml:space="preserve"> Datterselskap og tilknyttede selskap</w:t>
      </w:r>
      <w:bookmarkEnd w:id="6"/>
    </w:p>
    <w:p w:rsidR="00601F5E" w:rsidRDefault="00601F5E" w:rsidP="00BB4EC3"/>
    <w:p w:rsidR="00BB4EC3" w:rsidRDefault="00BB4EC3" w:rsidP="00BB4EC3"/>
    <w:tbl>
      <w:tblPr>
        <w:tblW w:w="8324" w:type="dxa"/>
        <w:tblInd w:w="70" w:type="dxa"/>
        <w:tblCellMar>
          <w:left w:w="70" w:type="dxa"/>
          <w:right w:w="70" w:type="dxa"/>
        </w:tblCellMar>
        <w:tblLook w:val="04A0" w:firstRow="1" w:lastRow="0" w:firstColumn="1" w:lastColumn="0" w:noHBand="0" w:noVBand="1"/>
      </w:tblPr>
      <w:tblGrid>
        <w:gridCol w:w="3596"/>
        <w:gridCol w:w="1376"/>
        <w:gridCol w:w="1276"/>
        <w:gridCol w:w="2076"/>
      </w:tblGrid>
      <w:tr w:rsidR="0080691E" w:rsidRPr="0080691E" w:rsidTr="0080691E">
        <w:trPr>
          <w:trHeight w:val="300"/>
        </w:trPr>
        <w:tc>
          <w:tcPr>
            <w:tcW w:w="3596" w:type="dxa"/>
            <w:tcBorders>
              <w:top w:val="nil"/>
              <w:left w:val="nil"/>
              <w:bottom w:val="nil"/>
              <w:right w:val="nil"/>
            </w:tcBorders>
            <w:shd w:val="clear" w:color="000000" w:fill="D9D9D9"/>
            <w:noWrap/>
            <w:vAlign w:val="bottom"/>
            <w:hideMark/>
          </w:tcPr>
          <w:p w:rsidR="0080691E" w:rsidRPr="0080691E" w:rsidRDefault="0080691E" w:rsidP="0080691E">
            <w:pPr>
              <w:rPr>
                <w:rFonts w:ascii="Calibri" w:eastAsia="Times New Roman" w:hAnsi="Calibri" w:cs="Times New Roman"/>
                <w:b/>
                <w:bCs/>
                <w:szCs w:val="18"/>
                <w:lang w:eastAsia="nb-NO"/>
              </w:rPr>
            </w:pPr>
            <w:r w:rsidRPr="0080691E">
              <w:rPr>
                <w:rFonts w:ascii="Calibri" w:eastAsia="Times New Roman" w:hAnsi="Calibri" w:cs="Times New Roman"/>
                <w:b/>
                <w:bCs/>
                <w:szCs w:val="18"/>
                <w:lang w:eastAsia="nb-NO"/>
              </w:rPr>
              <w:t>Aksjer i datterselskap</w:t>
            </w:r>
          </w:p>
        </w:tc>
        <w:tc>
          <w:tcPr>
            <w:tcW w:w="1376" w:type="dxa"/>
            <w:tcBorders>
              <w:top w:val="nil"/>
              <w:left w:val="nil"/>
              <w:bottom w:val="nil"/>
              <w:right w:val="nil"/>
            </w:tcBorders>
            <w:shd w:val="clear" w:color="000000" w:fill="D9D9D9"/>
            <w:noWrap/>
            <w:vAlign w:val="bottom"/>
            <w:hideMark/>
          </w:tcPr>
          <w:p w:rsidR="0080691E" w:rsidRPr="0080691E" w:rsidRDefault="0080691E" w:rsidP="0080691E">
            <w:pPr>
              <w:rPr>
                <w:rFonts w:ascii="Calibri" w:eastAsia="Times New Roman" w:hAnsi="Calibri" w:cs="Times New Roman"/>
                <w:b/>
                <w:bCs/>
                <w:szCs w:val="18"/>
                <w:lang w:eastAsia="nb-NO"/>
              </w:rPr>
            </w:pPr>
            <w:r w:rsidRPr="0080691E">
              <w:rPr>
                <w:rFonts w:ascii="Calibri" w:eastAsia="Times New Roman" w:hAnsi="Calibri" w:cs="Times New Roman"/>
                <w:b/>
                <w:bCs/>
                <w:szCs w:val="18"/>
                <w:lang w:eastAsia="nb-NO"/>
              </w:rPr>
              <w:t>Eierandel (%)</w:t>
            </w:r>
          </w:p>
        </w:tc>
        <w:tc>
          <w:tcPr>
            <w:tcW w:w="1276" w:type="dxa"/>
            <w:tcBorders>
              <w:top w:val="nil"/>
              <w:left w:val="nil"/>
              <w:bottom w:val="nil"/>
              <w:right w:val="nil"/>
            </w:tcBorders>
            <w:shd w:val="clear" w:color="000000" w:fill="D9D9D9"/>
            <w:noWrap/>
            <w:vAlign w:val="bottom"/>
            <w:hideMark/>
          </w:tcPr>
          <w:p w:rsidR="0080691E" w:rsidRPr="0080691E" w:rsidRDefault="0080691E" w:rsidP="0080691E">
            <w:pPr>
              <w:rPr>
                <w:rFonts w:ascii="Calibri" w:eastAsia="Times New Roman" w:hAnsi="Calibri" w:cs="Times New Roman"/>
                <w:b/>
                <w:bCs/>
                <w:szCs w:val="18"/>
                <w:lang w:eastAsia="nb-NO"/>
              </w:rPr>
            </w:pPr>
            <w:r w:rsidRPr="0080691E">
              <w:rPr>
                <w:rFonts w:ascii="Calibri" w:eastAsia="Times New Roman" w:hAnsi="Calibri" w:cs="Times New Roman"/>
                <w:b/>
                <w:bCs/>
                <w:szCs w:val="18"/>
                <w:lang w:eastAsia="nb-NO"/>
              </w:rPr>
              <w:t>Antall aksjer</w:t>
            </w:r>
          </w:p>
        </w:tc>
        <w:tc>
          <w:tcPr>
            <w:tcW w:w="2076" w:type="dxa"/>
            <w:tcBorders>
              <w:top w:val="nil"/>
              <w:left w:val="nil"/>
              <w:bottom w:val="nil"/>
              <w:right w:val="nil"/>
            </w:tcBorders>
            <w:shd w:val="clear" w:color="000000" w:fill="D9D9D9"/>
            <w:noWrap/>
            <w:vAlign w:val="bottom"/>
            <w:hideMark/>
          </w:tcPr>
          <w:p w:rsidR="0080691E" w:rsidRPr="0080691E" w:rsidRDefault="0080691E" w:rsidP="0080691E">
            <w:pPr>
              <w:rPr>
                <w:rFonts w:ascii="Calibri" w:eastAsia="Times New Roman" w:hAnsi="Calibri" w:cs="Times New Roman"/>
                <w:b/>
                <w:bCs/>
                <w:szCs w:val="18"/>
                <w:lang w:eastAsia="nb-NO"/>
              </w:rPr>
            </w:pPr>
            <w:r w:rsidRPr="0080691E">
              <w:rPr>
                <w:rFonts w:ascii="Calibri" w:eastAsia="Times New Roman" w:hAnsi="Calibri" w:cs="Times New Roman"/>
                <w:b/>
                <w:bCs/>
                <w:szCs w:val="18"/>
                <w:lang w:eastAsia="nb-NO"/>
              </w:rPr>
              <w:t>Bokført verdi (</w:t>
            </w:r>
            <w:proofErr w:type="spellStart"/>
            <w:r w:rsidRPr="0080691E">
              <w:rPr>
                <w:rFonts w:ascii="Calibri" w:eastAsia="Times New Roman" w:hAnsi="Calibri" w:cs="Times New Roman"/>
                <w:b/>
                <w:bCs/>
                <w:szCs w:val="18"/>
                <w:lang w:eastAsia="nb-NO"/>
              </w:rPr>
              <w:t>Mnok</w:t>
            </w:r>
            <w:proofErr w:type="spellEnd"/>
            <w:r w:rsidRPr="0080691E">
              <w:rPr>
                <w:rFonts w:ascii="Calibri" w:eastAsia="Times New Roman" w:hAnsi="Calibri" w:cs="Times New Roman"/>
                <w:b/>
                <w:bCs/>
                <w:szCs w:val="18"/>
                <w:lang w:eastAsia="nb-NO"/>
              </w:rPr>
              <w:t>)</w:t>
            </w:r>
          </w:p>
        </w:tc>
      </w:tr>
      <w:tr w:rsidR="0080691E" w:rsidRPr="0080691E" w:rsidTr="0080691E">
        <w:trPr>
          <w:trHeight w:val="300"/>
        </w:trPr>
        <w:tc>
          <w:tcPr>
            <w:tcW w:w="359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Sandnes Eiendom AS</w:t>
            </w:r>
          </w:p>
        </w:tc>
        <w:tc>
          <w:tcPr>
            <w:tcW w:w="13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100 %</w:t>
            </w:r>
          </w:p>
        </w:tc>
        <w:tc>
          <w:tcPr>
            <w:tcW w:w="12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2.585</w:t>
            </w:r>
          </w:p>
        </w:tc>
        <w:tc>
          <w:tcPr>
            <w:tcW w:w="20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4.068</w:t>
            </w:r>
          </w:p>
        </w:tc>
      </w:tr>
      <w:tr w:rsidR="0080691E" w:rsidRPr="0080691E" w:rsidTr="0080691E">
        <w:trPr>
          <w:trHeight w:val="300"/>
        </w:trPr>
        <w:tc>
          <w:tcPr>
            <w:tcW w:w="359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SSB Boligkreditt AS</w:t>
            </w:r>
          </w:p>
        </w:tc>
        <w:tc>
          <w:tcPr>
            <w:tcW w:w="13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100 %</w:t>
            </w:r>
          </w:p>
        </w:tc>
        <w:tc>
          <w:tcPr>
            <w:tcW w:w="12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2.276.000</w:t>
            </w:r>
          </w:p>
        </w:tc>
        <w:tc>
          <w:tcPr>
            <w:tcW w:w="20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350.130</w:t>
            </w:r>
          </w:p>
        </w:tc>
      </w:tr>
      <w:tr w:rsidR="0080691E" w:rsidRPr="0080691E" w:rsidTr="0080691E">
        <w:trPr>
          <w:trHeight w:val="300"/>
        </w:trPr>
        <w:tc>
          <w:tcPr>
            <w:tcW w:w="359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M2 Eiendomsmegling AS*</w:t>
            </w:r>
          </w:p>
        </w:tc>
        <w:tc>
          <w:tcPr>
            <w:tcW w:w="13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100 %</w:t>
            </w:r>
          </w:p>
        </w:tc>
        <w:tc>
          <w:tcPr>
            <w:tcW w:w="12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2.764</w:t>
            </w:r>
          </w:p>
        </w:tc>
        <w:tc>
          <w:tcPr>
            <w:tcW w:w="20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14.782</w:t>
            </w:r>
          </w:p>
        </w:tc>
      </w:tr>
      <w:tr w:rsidR="0080691E" w:rsidRPr="0080691E" w:rsidTr="0080691E">
        <w:trPr>
          <w:trHeight w:val="300"/>
        </w:trPr>
        <w:tc>
          <w:tcPr>
            <w:tcW w:w="359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SSB Global Eiendom AS</w:t>
            </w:r>
          </w:p>
        </w:tc>
        <w:tc>
          <w:tcPr>
            <w:tcW w:w="13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100 %</w:t>
            </w:r>
          </w:p>
        </w:tc>
        <w:tc>
          <w:tcPr>
            <w:tcW w:w="12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646.337</w:t>
            </w:r>
          </w:p>
        </w:tc>
        <w:tc>
          <w:tcPr>
            <w:tcW w:w="20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18.917</w:t>
            </w:r>
          </w:p>
        </w:tc>
      </w:tr>
      <w:tr w:rsidR="0080691E" w:rsidRPr="0080691E" w:rsidTr="0080691E">
        <w:trPr>
          <w:trHeight w:val="300"/>
        </w:trPr>
        <w:tc>
          <w:tcPr>
            <w:tcW w:w="359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SSB Private Equity 2 AS</w:t>
            </w:r>
          </w:p>
        </w:tc>
        <w:tc>
          <w:tcPr>
            <w:tcW w:w="13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60,10 %</w:t>
            </w:r>
          </w:p>
        </w:tc>
        <w:tc>
          <w:tcPr>
            <w:tcW w:w="12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300.500</w:t>
            </w:r>
          </w:p>
        </w:tc>
        <w:tc>
          <w:tcPr>
            <w:tcW w:w="20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15.927</w:t>
            </w:r>
          </w:p>
        </w:tc>
      </w:tr>
      <w:tr w:rsidR="0080691E" w:rsidRPr="0080691E" w:rsidTr="0080691E">
        <w:trPr>
          <w:trHeight w:val="300"/>
        </w:trPr>
        <w:tc>
          <w:tcPr>
            <w:tcW w:w="359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Røldal Eiendom AS/IS</w:t>
            </w:r>
          </w:p>
        </w:tc>
        <w:tc>
          <w:tcPr>
            <w:tcW w:w="13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100 %</w:t>
            </w:r>
          </w:p>
        </w:tc>
        <w:tc>
          <w:tcPr>
            <w:tcW w:w="12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1.000</w:t>
            </w:r>
          </w:p>
        </w:tc>
        <w:tc>
          <w:tcPr>
            <w:tcW w:w="20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r>
      <w:tr w:rsidR="0080691E" w:rsidRPr="0080691E" w:rsidTr="0080691E">
        <w:trPr>
          <w:trHeight w:val="300"/>
        </w:trPr>
        <w:tc>
          <w:tcPr>
            <w:tcW w:w="359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Breibukta AS/IS</w:t>
            </w:r>
          </w:p>
        </w:tc>
        <w:tc>
          <w:tcPr>
            <w:tcW w:w="13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100 %</w:t>
            </w:r>
          </w:p>
        </w:tc>
        <w:tc>
          <w:tcPr>
            <w:tcW w:w="12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100.000</w:t>
            </w:r>
          </w:p>
        </w:tc>
        <w:tc>
          <w:tcPr>
            <w:tcW w:w="20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r>
      <w:tr w:rsidR="0080691E" w:rsidRPr="0080691E" w:rsidTr="0080691E">
        <w:trPr>
          <w:trHeight w:val="300"/>
        </w:trPr>
        <w:tc>
          <w:tcPr>
            <w:tcW w:w="3596" w:type="dxa"/>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Bokført verdi per 31.12.2013</w:t>
            </w:r>
          </w:p>
        </w:tc>
        <w:tc>
          <w:tcPr>
            <w:tcW w:w="1376" w:type="dxa"/>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 </w:t>
            </w:r>
          </w:p>
        </w:tc>
        <w:tc>
          <w:tcPr>
            <w:tcW w:w="1276" w:type="dxa"/>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 </w:t>
            </w:r>
          </w:p>
        </w:tc>
        <w:tc>
          <w:tcPr>
            <w:tcW w:w="2076" w:type="dxa"/>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403.824</w:t>
            </w:r>
          </w:p>
        </w:tc>
      </w:tr>
      <w:tr w:rsidR="0080691E" w:rsidRPr="0080691E" w:rsidTr="0080691E">
        <w:trPr>
          <w:trHeight w:val="300"/>
        </w:trPr>
        <w:tc>
          <w:tcPr>
            <w:tcW w:w="359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37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27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207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r>
      <w:tr w:rsidR="0080691E" w:rsidRPr="0080691E" w:rsidTr="0080691E">
        <w:trPr>
          <w:trHeight w:val="300"/>
        </w:trPr>
        <w:tc>
          <w:tcPr>
            <w:tcW w:w="3596" w:type="dxa"/>
            <w:tcBorders>
              <w:top w:val="nil"/>
              <w:left w:val="nil"/>
              <w:bottom w:val="nil"/>
              <w:right w:val="nil"/>
            </w:tcBorders>
            <w:shd w:val="clear" w:color="000000" w:fill="D9D9D9"/>
            <w:noWrap/>
            <w:vAlign w:val="bottom"/>
            <w:hideMark/>
          </w:tcPr>
          <w:p w:rsidR="0080691E" w:rsidRPr="0080691E" w:rsidRDefault="0080691E" w:rsidP="0080691E">
            <w:pP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Tilknyttede selskaper</w:t>
            </w:r>
          </w:p>
        </w:tc>
        <w:tc>
          <w:tcPr>
            <w:tcW w:w="1376" w:type="dxa"/>
            <w:tcBorders>
              <w:top w:val="nil"/>
              <w:left w:val="nil"/>
              <w:bottom w:val="nil"/>
              <w:right w:val="nil"/>
            </w:tcBorders>
            <w:shd w:val="clear" w:color="000000" w:fill="D9D9D9"/>
            <w:noWrap/>
            <w:vAlign w:val="bottom"/>
            <w:hideMark/>
          </w:tcPr>
          <w:p w:rsidR="0080691E" w:rsidRPr="0080691E" w:rsidRDefault="0080691E" w:rsidP="0080691E">
            <w:pP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Eierandel (%)</w:t>
            </w:r>
          </w:p>
        </w:tc>
        <w:tc>
          <w:tcPr>
            <w:tcW w:w="1276" w:type="dxa"/>
            <w:tcBorders>
              <w:top w:val="nil"/>
              <w:left w:val="nil"/>
              <w:bottom w:val="nil"/>
              <w:right w:val="nil"/>
            </w:tcBorders>
            <w:shd w:val="clear" w:color="000000" w:fill="D9D9D9"/>
            <w:noWrap/>
            <w:vAlign w:val="bottom"/>
            <w:hideMark/>
          </w:tcPr>
          <w:p w:rsidR="0080691E" w:rsidRPr="0080691E" w:rsidRDefault="0080691E" w:rsidP="0080691E">
            <w:pP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Antall aksjer</w:t>
            </w:r>
          </w:p>
        </w:tc>
        <w:tc>
          <w:tcPr>
            <w:tcW w:w="2076" w:type="dxa"/>
            <w:tcBorders>
              <w:top w:val="nil"/>
              <w:left w:val="nil"/>
              <w:bottom w:val="nil"/>
              <w:right w:val="nil"/>
            </w:tcBorders>
            <w:shd w:val="clear" w:color="000000" w:fill="D9D9D9"/>
            <w:noWrap/>
            <w:vAlign w:val="bottom"/>
            <w:hideMark/>
          </w:tcPr>
          <w:p w:rsidR="0080691E" w:rsidRPr="0080691E" w:rsidRDefault="0080691E" w:rsidP="0080691E">
            <w:pP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Bokført verdi (</w:t>
            </w:r>
            <w:proofErr w:type="spellStart"/>
            <w:r w:rsidRPr="0080691E">
              <w:rPr>
                <w:rFonts w:ascii="Calibri" w:eastAsia="Times New Roman" w:hAnsi="Calibri" w:cs="Times New Roman"/>
                <w:b/>
                <w:bCs/>
                <w:color w:val="000000"/>
                <w:szCs w:val="18"/>
                <w:lang w:eastAsia="nb-NO"/>
              </w:rPr>
              <w:t>Mnok</w:t>
            </w:r>
            <w:proofErr w:type="spellEnd"/>
            <w:r w:rsidRPr="0080691E">
              <w:rPr>
                <w:rFonts w:ascii="Calibri" w:eastAsia="Times New Roman" w:hAnsi="Calibri" w:cs="Times New Roman"/>
                <w:b/>
                <w:bCs/>
                <w:color w:val="000000"/>
                <w:szCs w:val="18"/>
                <w:lang w:eastAsia="nb-NO"/>
              </w:rPr>
              <w:t>)</w:t>
            </w:r>
          </w:p>
        </w:tc>
      </w:tr>
      <w:tr w:rsidR="0080691E" w:rsidRPr="0080691E" w:rsidTr="0080691E">
        <w:trPr>
          <w:trHeight w:val="300"/>
        </w:trPr>
        <w:tc>
          <w:tcPr>
            <w:tcW w:w="359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SSB Energivekst ASA</w:t>
            </w:r>
          </w:p>
        </w:tc>
        <w:tc>
          <w:tcPr>
            <w:tcW w:w="13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39,38 %</w:t>
            </w:r>
          </w:p>
        </w:tc>
        <w:tc>
          <w:tcPr>
            <w:tcW w:w="12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343.369</w:t>
            </w:r>
          </w:p>
        </w:tc>
        <w:tc>
          <w:tcPr>
            <w:tcW w:w="20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r>
      <w:tr w:rsidR="0080691E" w:rsidRPr="0080691E" w:rsidTr="0080691E">
        <w:trPr>
          <w:trHeight w:val="300"/>
        </w:trPr>
        <w:tc>
          <w:tcPr>
            <w:tcW w:w="359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xml:space="preserve">Bygdøy </w:t>
            </w:r>
            <w:proofErr w:type="spellStart"/>
            <w:r w:rsidRPr="0080691E">
              <w:rPr>
                <w:rFonts w:ascii="Calibri" w:eastAsia="Times New Roman" w:hAnsi="Calibri" w:cs="Times New Roman"/>
                <w:color w:val="000000"/>
                <w:szCs w:val="18"/>
                <w:lang w:eastAsia="nb-NO"/>
              </w:rPr>
              <w:t>Allè</w:t>
            </w:r>
            <w:proofErr w:type="spellEnd"/>
            <w:r w:rsidRPr="0080691E">
              <w:rPr>
                <w:rFonts w:ascii="Calibri" w:eastAsia="Times New Roman" w:hAnsi="Calibri" w:cs="Times New Roman"/>
                <w:color w:val="000000"/>
                <w:szCs w:val="18"/>
                <w:lang w:eastAsia="nb-NO"/>
              </w:rPr>
              <w:t xml:space="preserve"> Eiendomsmegling AS</w:t>
            </w:r>
          </w:p>
        </w:tc>
        <w:tc>
          <w:tcPr>
            <w:tcW w:w="13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25 %</w:t>
            </w:r>
          </w:p>
        </w:tc>
        <w:tc>
          <w:tcPr>
            <w:tcW w:w="12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1.000</w:t>
            </w:r>
          </w:p>
        </w:tc>
        <w:tc>
          <w:tcPr>
            <w:tcW w:w="20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r>
      <w:tr w:rsidR="0080691E" w:rsidRPr="0080691E" w:rsidTr="0080691E">
        <w:trPr>
          <w:trHeight w:val="300"/>
        </w:trPr>
        <w:tc>
          <w:tcPr>
            <w:tcW w:w="359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Bokført verdi per 31.12.2012</w:t>
            </w:r>
          </w:p>
        </w:tc>
        <w:tc>
          <w:tcPr>
            <w:tcW w:w="137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27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207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r>
      <w:tr w:rsidR="0080691E" w:rsidRPr="0080691E" w:rsidTr="0080691E">
        <w:trPr>
          <w:trHeight w:val="300"/>
        </w:trPr>
        <w:tc>
          <w:tcPr>
            <w:tcW w:w="3596" w:type="dxa"/>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Bokført verdi per 31.12.2013</w:t>
            </w:r>
          </w:p>
        </w:tc>
        <w:tc>
          <w:tcPr>
            <w:tcW w:w="1376" w:type="dxa"/>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276" w:type="dxa"/>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2076" w:type="dxa"/>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0</w:t>
            </w:r>
          </w:p>
        </w:tc>
      </w:tr>
      <w:tr w:rsidR="0080691E" w:rsidRPr="0080691E" w:rsidTr="0080691E">
        <w:trPr>
          <w:trHeight w:val="300"/>
        </w:trPr>
        <w:tc>
          <w:tcPr>
            <w:tcW w:w="359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Ingen aktivitet i selskapet</w:t>
            </w:r>
          </w:p>
        </w:tc>
        <w:tc>
          <w:tcPr>
            <w:tcW w:w="137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27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207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r>
    </w:tbl>
    <w:p w:rsidR="00BB4EC3" w:rsidRDefault="00BB4EC3" w:rsidP="00BB4EC3"/>
    <w:p w:rsidR="00195BB1" w:rsidRDefault="00195BB1" w:rsidP="00BB4EC3"/>
    <w:p w:rsidR="00195BB1" w:rsidRDefault="00AA39E6" w:rsidP="00BB4EC3">
      <w:r>
        <w:t>Morbank og SSB Boligkreditt</w:t>
      </w:r>
      <w:r w:rsidR="0029368B">
        <w:t xml:space="preserve"> AS</w:t>
      </w:r>
      <w:r>
        <w:t xml:space="preserve"> er de eneste selskapene som har kredittrisiko. Sandnes Sparebank har konsesjon for som verdipapirforetak, men konsesjonen er ikke skilt ut i eget selskap. Konsesjonen utøves hovedsakelig under </w:t>
      </w:r>
      <w:r w:rsidR="0029368B">
        <w:t>aktivitet underlagt ø</w:t>
      </w:r>
      <w:r>
        <w:t xml:space="preserve">konomiavdelingen. </w:t>
      </w:r>
    </w:p>
    <w:p w:rsidR="00AA39E6" w:rsidRDefault="00AA39E6" w:rsidP="00BB4EC3"/>
    <w:p w:rsidR="00AA39E6" w:rsidRPr="00BB4EC3" w:rsidRDefault="00AA39E6" w:rsidP="00BB4EC3">
      <w:r>
        <w:t xml:space="preserve">Sandens Sparebank har fokus på at de ulike selskapene i konsernet til enhver tid er tilfredsstillende kapitalisert, og det er ingen særskilte begrensinger på muligheter for kapitaloverføringer mellom selskapene. </w:t>
      </w:r>
    </w:p>
    <w:p w:rsidR="00E2388A" w:rsidRDefault="00E2388A">
      <w:pPr>
        <w:spacing w:after="200" w:line="276" w:lineRule="auto"/>
        <w:rPr>
          <w:color w:val="FF0000"/>
        </w:rPr>
      </w:pPr>
    </w:p>
    <w:p w:rsidR="0080691E" w:rsidRDefault="0080691E">
      <w:pPr>
        <w:spacing w:after="200" w:line="276" w:lineRule="auto"/>
        <w:rPr>
          <w:b/>
          <w:color w:val="000000" w:themeColor="text1"/>
          <w:sz w:val="22"/>
        </w:rPr>
      </w:pPr>
      <w:r>
        <w:br w:type="page"/>
      </w:r>
    </w:p>
    <w:p w:rsidR="004379FD" w:rsidRPr="00300DB1" w:rsidRDefault="004379FD" w:rsidP="00300DB1">
      <w:pPr>
        <w:pStyle w:val="Overskrift2"/>
        <w:rPr>
          <w:rFonts w:cstheme="majorBidi"/>
          <w:sz w:val="18"/>
        </w:rPr>
      </w:pPr>
      <w:bookmarkStart w:id="7" w:name="_Toc387671269"/>
      <w:r w:rsidRPr="0027481B">
        <w:t>Kapitaldekning</w:t>
      </w:r>
      <w:bookmarkEnd w:id="7"/>
      <w:r w:rsidRPr="0027481B">
        <w:t xml:space="preserve"> </w:t>
      </w:r>
    </w:p>
    <w:p w:rsidR="004379FD" w:rsidRPr="0027481B" w:rsidRDefault="004379FD" w:rsidP="004379FD">
      <w:pPr>
        <w:jc w:val="both"/>
      </w:pPr>
    </w:p>
    <w:p w:rsidR="004379FD" w:rsidRPr="0027481B" w:rsidRDefault="004379FD" w:rsidP="00CB49EC">
      <w:pPr>
        <w:jc w:val="both"/>
      </w:pPr>
      <w:r w:rsidRPr="0027481B">
        <w:t xml:space="preserve">Bankens kapitaldekning og andelen ren kjernekapital har økt gjennom 2013, mens andelen kjernekapital er noe redusert. Dette gjelder både konsernet og for morbank. </w:t>
      </w:r>
    </w:p>
    <w:p w:rsidR="004379FD" w:rsidRPr="0027481B" w:rsidRDefault="004379FD" w:rsidP="00CB49EC">
      <w:pPr>
        <w:jc w:val="both"/>
      </w:pPr>
    </w:p>
    <w:p w:rsidR="004379FD" w:rsidRPr="0027481B" w:rsidRDefault="004379FD" w:rsidP="00CB49EC">
      <w:pPr>
        <w:jc w:val="both"/>
      </w:pPr>
      <w:r w:rsidRPr="0027481B">
        <w:t xml:space="preserve">Både konsernet og morbank er godt kapitalisert med en ren kjernekapitaldekning som er over både de regulatoriske krav og bankens egenvurderte kapitalbehov. </w:t>
      </w:r>
    </w:p>
    <w:p w:rsidR="00300DB1" w:rsidRDefault="00300DB1" w:rsidP="00CB49EC">
      <w:pPr>
        <w:spacing w:after="200"/>
      </w:pPr>
    </w:p>
    <w:p w:rsidR="007C725D" w:rsidRDefault="00EC65C0" w:rsidP="00CB49EC">
      <w:pPr>
        <w:jc w:val="both"/>
      </w:pPr>
      <w:r>
        <w:t>Ved utgangen av 2013</w:t>
      </w:r>
      <w:r w:rsidR="007C725D">
        <w:t xml:space="preserve"> var bankens kapitalsituasjon som følger:</w:t>
      </w:r>
    </w:p>
    <w:p w:rsidR="007C725D" w:rsidRPr="007C725D" w:rsidRDefault="007C725D" w:rsidP="00CB49EC">
      <w:pPr>
        <w:jc w:val="both"/>
      </w:pPr>
    </w:p>
    <w:p w:rsidR="007C725D" w:rsidRPr="007C725D" w:rsidRDefault="004379FD" w:rsidP="007C725D">
      <w:pPr>
        <w:pStyle w:val="Bildetekst"/>
      </w:pPr>
      <w:bookmarkStart w:id="8" w:name="_Toc387671300"/>
      <w:r w:rsidRPr="008E403A">
        <w:t xml:space="preserve">Tabell </w:t>
      </w:r>
      <w:r w:rsidR="00E42F82">
        <w:fldChar w:fldCharType="begin"/>
      </w:r>
      <w:r w:rsidR="00E42F82">
        <w:instrText xml:space="preserve"> SEQ Tabell \* ARABIC </w:instrText>
      </w:r>
      <w:r w:rsidR="00E42F82">
        <w:fldChar w:fldCharType="separate"/>
      </w:r>
      <w:r w:rsidR="00CB49EC">
        <w:rPr>
          <w:noProof/>
        </w:rPr>
        <w:t>2</w:t>
      </w:r>
      <w:r w:rsidR="00E42F82">
        <w:rPr>
          <w:noProof/>
        </w:rPr>
        <w:fldChar w:fldCharType="end"/>
      </w:r>
      <w:r w:rsidRPr="008E403A">
        <w:t xml:space="preserve"> Oversikt kapital</w:t>
      </w:r>
      <w:bookmarkEnd w:id="8"/>
    </w:p>
    <w:p w:rsidR="004379FD" w:rsidRDefault="004379FD" w:rsidP="004379FD">
      <w:pPr>
        <w:jc w:val="both"/>
        <w:rPr>
          <w:rFonts w:asciiTheme="minorHAnsi" w:hAnsiTheme="minorHAnsi"/>
          <w:sz w:val="22"/>
        </w:rPr>
      </w:pPr>
      <w:r>
        <w:rPr>
          <w:noProof/>
          <w:lang w:eastAsia="nb-NO"/>
        </w:rPr>
        <w:fldChar w:fldCharType="begin"/>
      </w:r>
      <w:r>
        <w:rPr>
          <w:noProof/>
          <w:lang w:eastAsia="nb-NO"/>
        </w:rPr>
        <w:instrText xml:space="preserve"> LINK </w:instrText>
      </w:r>
      <w:r w:rsidR="00B06252">
        <w:rPr>
          <w:noProof/>
          <w:lang w:eastAsia="nb-NO"/>
        </w:rPr>
        <w:instrText xml:space="preserve">Excel.Sheet.12 "\\\\AWWCLFS001\\Avdeling\\Risk\\Diverse prosjekter\\Pilar III\\2014\\Data\\Pilar_III_2014.xlsx" Kapitaldekning!R1C2:R19C4 </w:instrText>
      </w:r>
      <w:r>
        <w:rPr>
          <w:noProof/>
          <w:lang w:eastAsia="nb-NO"/>
        </w:rPr>
        <w:instrText xml:space="preserve">\a \f 4 \h  \* MERGEFORMAT </w:instrText>
      </w:r>
      <w:r>
        <w:rPr>
          <w:noProof/>
          <w:lang w:eastAsia="nb-NO"/>
        </w:rPr>
        <w:fldChar w:fldCharType="separate"/>
      </w:r>
    </w:p>
    <w:p w:rsidR="0080691E" w:rsidRDefault="0080691E" w:rsidP="00300DB1">
      <w:pPr>
        <w:jc w:val="both"/>
      </w:pPr>
    </w:p>
    <w:tbl>
      <w:tblPr>
        <w:tblW w:w="8500" w:type="dxa"/>
        <w:tblInd w:w="70" w:type="dxa"/>
        <w:tblCellMar>
          <w:left w:w="70" w:type="dxa"/>
          <w:right w:w="70" w:type="dxa"/>
        </w:tblCellMar>
        <w:tblLook w:val="04A0" w:firstRow="1" w:lastRow="0" w:firstColumn="1" w:lastColumn="0" w:noHBand="0" w:noVBand="1"/>
      </w:tblPr>
      <w:tblGrid>
        <w:gridCol w:w="1556"/>
        <w:gridCol w:w="1588"/>
        <w:gridCol w:w="3768"/>
        <w:gridCol w:w="1588"/>
      </w:tblGrid>
      <w:tr w:rsidR="0080691E" w:rsidRPr="0080691E" w:rsidTr="0080691E">
        <w:trPr>
          <w:trHeight w:val="300"/>
        </w:trPr>
        <w:tc>
          <w:tcPr>
            <w:tcW w:w="1556" w:type="dxa"/>
            <w:tcBorders>
              <w:top w:val="nil"/>
              <w:left w:val="nil"/>
              <w:bottom w:val="nil"/>
              <w:right w:val="nil"/>
            </w:tcBorders>
            <w:shd w:val="clear" w:color="000000" w:fill="D9D9D9"/>
            <w:vAlign w:val="bottom"/>
            <w:hideMark/>
          </w:tcPr>
          <w:p w:rsidR="0080691E" w:rsidRPr="0080691E" w:rsidRDefault="0080691E" w:rsidP="0080691E">
            <w:pPr>
              <w:rPr>
                <w:rFonts w:ascii="Calibri" w:eastAsia="Times New Roman" w:hAnsi="Calibri" w:cs="Times New Roman"/>
                <w:b/>
                <w:bCs/>
                <w:szCs w:val="18"/>
                <w:lang w:eastAsia="nb-NO"/>
              </w:rPr>
            </w:pPr>
            <w:r w:rsidRPr="0080691E">
              <w:rPr>
                <w:rFonts w:ascii="Calibri" w:eastAsia="Times New Roman" w:hAnsi="Calibri" w:cs="Times New Roman"/>
                <w:b/>
                <w:bCs/>
                <w:szCs w:val="18"/>
                <w:lang w:eastAsia="nb-NO"/>
              </w:rPr>
              <w:t>SSB Boligkreditt</w:t>
            </w:r>
          </w:p>
        </w:tc>
        <w:tc>
          <w:tcPr>
            <w:tcW w:w="1588" w:type="dxa"/>
            <w:tcBorders>
              <w:top w:val="nil"/>
              <w:left w:val="single" w:sz="4" w:space="0" w:color="auto"/>
              <w:bottom w:val="nil"/>
              <w:right w:val="single" w:sz="4" w:space="0" w:color="auto"/>
            </w:tcBorders>
            <w:shd w:val="clear" w:color="000000" w:fill="D9D9D9"/>
            <w:noWrap/>
            <w:vAlign w:val="bottom"/>
            <w:hideMark/>
          </w:tcPr>
          <w:p w:rsidR="0080691E" w:rsidRPr="0080691E" w:rsidRDefault="0080691E" w:rsidP="0080691E">
            <w:pPr>
              <w:jc w:val="right"/>
              <w:rPr>
                <w:rFonts w:ascii="Calibri" w:eastAsia="Times New Roman" w:hAnsi="Calibri" w:cs="Times New Roman"/>
                <w:b/>
                <w:bCs/>
                <w:szCs w:val="18"/>
                <w:lang w:eastAsia="nb-NO"/>
              </w:rPr>
            </w:pPr>
            <w:r w:rsidRPr="0080691E">
              <w:rPr>
                <w:rFonts w:ascii="Calibri" w:eastAsia="Times New Roman" w:hAnsi="Calibri" w:cs="Times New Roman"/>
                <w:b/>
                <w:bCs/>
                <w:szCs w:val="18"/>
                <w:lang w:eastAsia="nb-NO"/>
              </w:rPr>
              <w:t>Mor</w:t>
            </w:r>
          </w:p>
        </w:tc>
        <w:tc>
          <w:tcPr>
            <w:tcW w:w="3768" w:type="dxa"/>
            <w:tcBorders>
              <w:top w:val="nil"/>
              <w:left w:val="nil"/>
              <w:bottom w:val="nil"/>
              <w:right w:val="single" w:sz="4" w:space="0" w:color="auto"/>
            </w:tcBorders>
            <w:shd w:val="clear" w:color="000000" w:fill="D9D9D9"/>
            <w:noWrap/>
            <w:vAlign w:val="bottom"/>
            <w:hideMark/>
          </w:tcPr>
          <w:p w:rsidR="0080691E" w:rsidRPr="0080691E" w:rsidRDefault="0080691E" w:rsidP="0080691E">
            <w:pPr>
              <w:jc w:val="right"/>
              <w:rPr>
                <w:rFonts w:ascii="Courier" w:eastAsia="Times New Roman" w:hAnsi="Courier" w:cs="Times New Roman"/>
                <w:b/>
                <w:bCs/>
                <w:szCs w:val="18"/>
                <w:lang w:eastAsia="nb-NO"/>
              </w:rPr>
            </w:pPr>
            <w:r w:rsidRPr="0080691E">
              <w:rPr>
                <w:rFonts w:ascii="Courier" w:eastAsia="Times New Roman" w:hAnsi="Courier" w:cs="Times New Roman"/>
                <w:b/>
                <w:bCs/>
                <w:szCs w:val="18"/>
                <w:lang w:eastAsia="nb-NO"/>
              </w:rPr>
              <w:t> </w:t>
            </w:r>
          </w:p>
        </w:tc>
        <w:tc>
          <w:tcPr>
            <w:tcW w:w="1588" w:type="dxa"/>
            <w:tcBorders>
              <w:top w:val="nil"/>
              <w:left w:val="nil"/>
              <w:bottom w:val="nil"/>
              <w:right w:val="nil"/>
            </w:tcBorders>
            <w:shd w:val="clear" w:color="000000" w:fill="D9D9D9"/>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Konsern</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227.600</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710.581</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Egenkapitalbevis kapital</w:t>
            </w:r>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710.581</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122.500</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168.232</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Overkursfond</w:t>
            </w:r>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168.232</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800.549</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Sparebankenes fond</w:t>
            </w:r>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800.549</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45.328</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Gavefond</w:t>
            </w:r>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45.330</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189.226</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Utjevningsfond</w:t>
            </w:r>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189.226</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1.558</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xml:space="preserve">Fond for urealiserte </w:t>
            </w:r>
            <w:proofErr w:type="spellStart"/>
            <w:r w:rsidRPr="0080691E">
              <w:rPr>
                <w:rFonts w:ascii="Calibri" w:eastAsia="Times New Roman" w:hAnsi="Calibri" w:cs="Times New Roman"/>
                <w:color w:val="000000"/>
                <w:szCs w:val="18"/>
                <w:lang w:eastAsia="nb-NO"/>
              </w:rPr>
              <w:t>gev</w:t>
            </w:r>
            <w:proofErr w:type="spellEnd"/>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1.558</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szCs w:val="18"/>
                <w:lang w:eastAsia="nb-NO"/>
              </w:rPr>
            </w:pPr>
            <w:r w:rsidRPr="0080691E">
              <w:rPr>
                <w:rFonts w:ascii="Calibri" w:eastAsia="Times New Roman" w:hAnsi="Calibri" w:cs="Times New Roman"/>
                <w:szCs w:val="18"/>
                <w:lang w:eastAsia="nb-NO"/>
              </w:rPr>
              <w:t>72.614</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szCs w:val="18"/>
                <w:lang w:eastAsia="nb-NO"/>
              </w:rPr>
            </w:pPr>
            <w:r w:rsidRPr="0080691E">
              <w:rPr>
                <w:rFonts w:ascii="Calibri" w:eastAsia="Times New Roman" w:hAnsi="Calibri" w:cs="Times New Roman"/>
                <w:szCs w:val="18"/>
                <w:lang w:eastAsia="nb-NO"/>
              </w:rPr>
              <w:t>1</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xml:space="preserve">Andel av </w:t>
            </w:r>
            <w:proofErr w:type="spellStart"/>
            <w:r w:rsidRPr="0080691E">
              <w:rPr>
                <w:rFonts w:ascii="Calibri" w:eastAsia="Times New Roman" w:hAnsi="Calibri" w:cs="Times New Roman"/>
                <w:color w:val="000000"/>
                <w:szCs w:val="18"/>
                <w:lang w:eastAsia="nb-NO"/>
              </w:rPr>
              <w:t>årsresultat+annen</w:t>
            </w:r>
            <w:proofErr w:type="spellEnd"/>
            <w:r w:rsidRPr="0080691E">
              <w:rPr>
                <w:rFonts w:ascii="Calibri" w:eastAsia="Times New Roman" w:hAnsi="Calibri" w:cs="Times New Roman"/>
                <w:color w:val="000000"/>
                <w:szCs w:val="18"/>
                <w:lang w:eastAsia="nb-NO"/>
              </w:rPr>
              <w:t xml:space="preserve"> EK</w:t>
            </w:r>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94.777</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Minoritetsinteresser</w:t>
            </w:r>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14.227</w:t>
            </w:r>
          </w:p>
        </w:tc>
      </w:tr>
      <w:tr w:rsidR="0080691E" w:rsidRPr="0080691E" w:rsidTr="0080691E">
        <w:trPr>
          <w:trHeight w:val="300"/>
        </w:trPr>
        <w:tc>
          <w:tcPr>
            <w:tcW w:w="1556" w:type="dxa"/>
            <w:tcBorders>
              <w:top w:val="nil"/>
              <w:left w:val="nil"/>
              <w:bottom w:val="single" w:sz="4" w:space="0" w:color="auto"/>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588" w:type="dxa"/>
            <w:tcBorders>
              <w:top w:val="nil"/>
              <w:left w:val="single" w:sz="4" w:space="0" w:color="auto"/>
              <w:bottom w:val="single" w:sz="4" w:space="0" w:color="auto"/>
              <w:right w:val="single" w:sz="4" w:space="0" w:color="auto"/>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3768" w:type="dxa"/>
            <w:tcBorders>
              <w:top w:val="nil"/>
              <w:left w:val="nil"/>
              <w:bottom w:val="single" w:sz="4" w:space="0" w:color="auto"/>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b/>
                <w:bCs/>
                <w:szCs w:val="18"/>
                <w:lang w:eastAsia="nb-NO"/>
              </w:rPr>
            </w:pPr>
            <w:r w:rsidRPr="0080691E">
              <w:rPr>
                <w:rFonts w:ascii="Calibri" w:eastAsia="Times New Roman" w:hAnsi="Calibri" w:cs="Times New Roman"/>
                <w:b/>
                <w:bCs/>
                <w:szCs w:val="18"/>
                <w:lang w:eastAsia="nb-NO"/>
              </w:rPr>
              <w:t>Fradrag i kjernekapitalen</w:t>
            </w:r>
          </w:p>
        </w:tc>
        <w:tc>
          <w:tcPr>
            <w:tcW w:w="1588" w:type="dxa"/>
            <w:tcBorders>
              <w:top w:val="nil"/>
              <w:left w:val="nil"/>
              <w:bottom w:val="single" w:sz="4" w:space="0" w:color="auto"/>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-49</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-35.403</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szCs w:val="18"/>
                <w:lang w:eastAsia="nb-NO"/>
              </w:rPr>
            </w:pPr>
            <w:r w:rsidRPr="0080691E">
              <w:rPr>
                <w:rFonts w:ascii="Calibri" w:eastAsia="Times New Roman" w:hAnsi="Calibri" w:cs="Times New Roman"/>
                <w:szCs w:val="18"/>
                <w:lang w:eastAsia="nb-NO"/>
              </w:rPr>
              <w:t>Bokført immaterielle eiendeler</w:t>
            </w:r>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-36.926</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-4.710</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-2.741</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szCs w:val="18"/>
                <w:lang w:eastAsia="nb-NO"/>
              </w:rPr>
            </w:pPr>
            <w:r w:rsidRPr="0080691E">
              <w:rPr>
                <w:rFonts w:ascii="Calibri" w:eastAsia="Times New Roman" w:hAnsi="Calibri" w:cs="Times New Roman"/>
                <w:szCs w:val="18"/>
                <w:lang w:eastAsia="nb-NO"/>
              </w:rPr>
              <w:t>Utsatt skattefordel</w:t>
            </w:r>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-21.660</w:t>
            </w:r>
          </w:p>
        </w:tc>
      </w:tr>
      <w:tr w:rsidR="0080691E" w:rsidRPr="0080691E" w:rsidTr="0080691E">
        <w:trPr>
          <w:trHeight w:val="315"/>
        </w:trPr>
        <w:tc>
          <w:tcPr>
            <w:tcW w:w="1556" w:type="dxa"/>
            <w:tcBorders>
              <w:top w:val="single" w:sz="4" w:space="0" w:color="auto"/>
              <w:left w:val="nil"/>
              <w:bottom w:val="single" w:sz="8"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417.956</w:t>
            </w:r>
          </w:p>
        </w:tc>
        <w:tc>
          <w:tcPr>
            <w:tcW w:w="1588"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1.877.331</w:t>
            </w:r>
          </w:p>
        </w:tc>
        <w:tc>
          <w:tcPr>
            <w:tcW w:w="3768" w:type="dxa"/>
            <w:tcBorders>
              <w:top w:val="single" w:sz="4" w:space="0" w:color="auto"/>
              <w:left w:val="nil"/>
              <w:bottom w:val="single" w:sz="8" w:space="0" w:color="auto"/>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b/>
                <w:bCs/>
                <w:szCs w:val="18"/>
                <w:lang w:eastAsia="nb-NO"/>
              </w:rPr>
            </w:pPr>
            <w:r w:rsidRPr="0080691E">
              <w:rPr>
                <w:rFonts w:ascii="Calibri" w:eastAsia="Times New Roman" w:hAnsi="Calibri" w:cs="Times New Roman"/>
                <w:b/>
                <w:bCs/>
                <w:szCs w:val="18"/>
                <w:lang w:eastAsia="nb-NO"/>
              </w:rPr>
              <w:t>Ren kjernekapital</w:t>
            </w:r>
          </w:p>
        </w:tc>
        <w:tc>
          <w:tcPr>
            <w:tcW w:w="1588" w:type="dxa"/>
            <w:tcBorders>
              <w:top w:val="single" w:sz="4" w:space="0" w:color="auto"/>
              <w:left w:val="nil"/>
              <w:bottom w:val="single" w:sz="8"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1.965.894</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rPr>
                <w:rFonts w:ascii="Courier" w:eastAsia="Times New Roman" w:hAnsi="Courier" w:cs="Times New Roman"/>
                <w:b/>
                <w:bCs/>
                <w:szCs w:val="18"/>
                <w:lang w:eastAsia="nb-NO"/>
              </w:rPr>
            </w:pPr>
            <w:r w:rsidRPr="0080691E">
              <w:rPr>
                <w:rFonts w:ascii="Courier" w:eastAsia="Times New Roman" w:hAnsi="Courier" w:cs="Times New Roman"/>
                <w:b/>
                <w:bCs/>
                <w:szCs w:val="18"/>
                <w:lang w:eastAsia="nb-NO"/>
              </w:rPr>
              <w:t> </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b/>
                <w:bCs/>
                <w:szCs w:val="18"/>
                <w:lang w:eastAsia="nb-NO"/>
              </w:rPr>
            </w:pPr>
            <w:r w:rsidRPr="0080691E">
              <w:rPr>
                <w:rFonts w:ascii="Calibri" w:eastAsia="Times New Roman" w:hAnsi="Calibri" w:cs="Times New Roman"/>
                <w:b/>
                <w:bCs/>
                <w:szCs w:val="18"/>
                <w:lang w:eastAsia="nb-NO"/>
              </w:rPr>
              <w:t>Annen kjernekapital:</w:t>
            </w:r>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ourier" w:eastAsia="Times New Roman" w:hAnsi="Courier" w:cs="Times New Roman"/>
                <w:szCs w:val="18"/>
                <w:lang w:eastAsia="nb-NO"/>
              </w:rPr>
            </w:pPr>
            <w:r w:rsidRPr="0080691E">
              <w:rPr>
                <w:rFonts w:ascii="Courier" w:eastAsia="Times New Roman" w:hAnsi="Courier" w:cs="Times New Roman"/>
                <w:szCs w:val="18"/>
                <w:lang w:eastAsia="nb-NO"/>
              </w:rPr>
              <w:t>0</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502.427</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szCs w:val="18"/>
                <w:lang w:eastAsia="nb-NO"/>
              </w:rPr>
            </w:pPr>
            <w:r w:rsidRPr="0080691E">
              <w:rPr>
                <w:rFonts w:ascii="Calibri" w:eastAsia="Times New Roman" w:hAnsi="Calibri" w:cs="Times New Roman"/>
                <w:szCs w:val="18"/>
                <w:lang w:eastAsia="nb-NO"/>
              </w:rPr>
              <w:t>Hybridkapital</w:t>
            </w:r>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502.427</w:t>
            </w:r>
          </w:p>
        </w:tc>
      </w:tr>
      <w:tr w:rsidR="0080691E" w:rsidRPr="0080691E" w:rsidTr="0080691E">
        <w:trPr>
          <w:trHeight w:val="315"/>
        </w:trPr>
        <w:tc>
          <w:tcPr>
            <w:tcW w:w="1556" w:type="dxa"/>
            <w:tcBorders>
              <w:top w:val="single" w:sz="4" w:space="0" w:color="auto"/>
              <w:left w:val="nil"/>
              <w:bottom w:val="single" w:sz="8"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417.956</w:t>
            </w:r>
          </w:p>
        </w:tc>
        <w:tc>
          <w:tcPr>
            <w:tcW w:w="1588"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2.379.759</w:t>
            </w:r>
          </w:p>
        </w:tc>
        <w:tc>
          <w:tcPr>
            <w:tcW w:w="3768" w:type="dxa"/>
            <w:tcBorders>
              <w:top w:val="single" w:sz="4" w:space="0" w:color="auto"/>
              <w:left w:val="nil"/>
              <w:bottom w:val="single" w:sz="8" w:space="0" w:color="auto"/>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b/>
                <w:bCs/>
                <w:szCs w:val="18"/>
                <w:lang w:eastAsia="nb-NO"/>
              </w:rPr>
            </w:pPr>
            <w:r w:rsidRPr="0080691E">
              <w:rPr>
                <w:rFonts w:ascii="Calibri" w:eastAsia="Times New Roman" w:hAnsi="Calibri" w:cs="Times New Roman"/>
                <w:b/>
                <w:bCs/>
                <w:szCs w:val="18"/>
                <w:lang w:eastAsia="nb-NO"/>
              </w:rPr>
              <w:t>Kjernekapital</w:t>
            </w:r>
          </w:p>
        </w:tc>
        <w:tc>
          <w:tcPr>
            <w:tcW w:w="1588" w:type="dxa"/>
            <w:tcBorders>
              <w:top w:val="single" w:sz="4" w:space="0" w:color="auto"/>
              <w:left w:val="nil"/>
              <w:bottom w:val="single" w:sz="8"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2.468.321</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b/>
                <w:bCs/>
                <w:szCs w:val="18"/>
                <w:lang w:eastAsia="nb-NO"/>
              </w:rPr>
            </w:pPr>
            <w:r w:rsidRPr="0080691E">
              <w:rPr>
                <w:rFonts w:ascii="Calibri" w:eastAsia="Times New Roman" w:hAnsi="Calibri" w:cs="Times New Roman"/>
                <w:b/>
                <w:bCs/>
                <w:szCs w:val="18"/>
                <w:lang w:eastAsia="nb-NO"/>
              </w:rPr>
              <w:t>Tilleggskapital</w:t>
            </w:r>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r>
      <w:tr w:rsidR="0080691E" w:rsidRPr="0080691E" w:rsidTr="0080691E">
        <w:trPr>
          <w:trHeight w:val="300"/>
        </w:trPr>
        <w:tc>
          <w:tcPr>
            <w:tcW w:w="155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ourier" w:eastAsia="Times New Roman" w:hAnsi="Courier" w:cs="Times New Roman"/>
                <w:szCs w:val="18"/>
                <w:lang w:eastAsia="nb-NO"/>
              </w:rPr>
            </w:pPr>
            <w:r w:rsidRPr="0080691E">
              <w:rPr>
                <w:rFonts w:ascii="Courier" w:eastAsia="Times New Roman" w:hAnsi="Courier" w:cs="Times New Roman"/>
                <w:szCs w:val="18"/>
                <w:lang w:eastAsia="nb-NO"/>
              </w:rPr>
              <w:t>0</w:t>
            </w:r>
          </w:p>
        </w:tc>
        <w:tc>
          <w:tcPr>
            <w:tcW w:w="1588" w:type="dxa"/>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347.043</w:t>
            </w:r>
          </w:p>
        </w:tc>
        <w:tc>
          <w:tcPr>
            <w:tcW w:w="3768" w:type="dxa"/>
            <w:tcBorders>
              <w:top w:val="nil"/>
              <w:left w:val="nil"/>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szCs w:val="18"/>
                <w:lang w:eastAsia="nb-NO"/>
              </w:rPr>
            </w:pPr>
            <w:r w:rsidRPr="0080691E">
              <w:rPr>
                <w:rFonts w:ascii="Calibri" w:eastAsia="Times New Roman" w:hAnsi="Calibri" w:cs="Times New Roman"/>
                <w:szCs w:val="18"/>
                <w:lang w:eastAsia="nb-NO"/>
              </w:rPr>
              <w:t>Ansvarlige lån</w:t>
            </w:r>
          </w:p>
        </w:tc>
        <w:tc>
          <w:tcPr>
            <w:tcW w:w="1588"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347.043</w:t>
            </w:r>
          </w:p>
        </w:tc>
      </w:tr>
      <w:tr w:rsidR="0080691E" w:rsidRPr="0080691E" w:rsidTr="0080691E">
        <w:trPr>
          <w:trHeight w:val="315"/>
        </w:trPr>
        <w:tc>
          <w:tcPr>
            <w:tcW w:w="1556" w:type="dxa"/>
            <w:tcBorders>
              <w:top w:val="single" w:sz="4" w:space="0" w:color="auto"/>
              <w:left w:val="nil"/>
              <w:bottom w:val="single" w:sz="8"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417.956</w:t>
            </w:r>
          </w:p>
        </w:tc>
        <w:tc>
          <w:tcPr>
            <w:tcW w:w="1588"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2.726.801</w:t>
            </w:r>
          </w:p>
        </w:tc>
        <w:tc>
          <w:tcPr>
            <w:tcW w:w="3768" w:type="dxa"/>
            <w:tcBorders>
              <w:top w:val="single" w:sz="4" w:space="0" w:color="auto"/>
              <w:left w:val="nil"/>
              <w:bottom w:val="single" w:sz="8" w:space="0" w:color="auto"/>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b/>
                <w:bCs/>
                <w:szCs w:val="18"/>
                <w:lang w:eastAsia="nb-NO"/>
              </w:rPr>
            </w:pPr>
            <w:r w:rsidRPr="0080691E">
              <w:rPr>
                <w:rFonts w:ascii="Calibri" w:eastAsia="Times New Roman" w:hAnsi="Calibri" w:cs="Times New Roman"/>
                <w:b/>
                <w:bCs/>
                <w:szCs w:val="18"/>
                <w:lang w:eastAsia="nb-NO"/>
              </w:rPr>
              <w:t>Netto ansvarlig kapital</w:t>
            </w:r>
          </w:p>
        </w:tc>
        <w:tc>
          <w:tcPr>
            <w:tcW w:w="1588" w:type="dxa"/>
            <w:tcBorders>
              <w:top w:val="single" w:sz="4" w:space="0" w:color="auto"/>
              <w:left w:val="nil"/>
              <w:bottom w:val="single" w:sz="8"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2.815.364</w:t>
            </w:r>
          </w:p>
        </w:tc>
      </w:tr>
    </w:tbl>
    <w:p w:rsidR="00CB49EC" w:rsidRPr="00CB49EC" w:rsidRDefault="004379FD" w:rsidP="00CB49EC">
      <w:pPr>
        <w:jc w:val="both"/>
        <w:rPr>
          <w:color w:val="FF0000"/>
        </w:rPr>
      </w:pPr>
      <w:r>
        <w:rPr>
          <w:noProof/>
          <w:color w:val="FF0000"/>
          <w:lang w:eastAsia="nb-NO"/>
        </w:rPr>
        <w:fldChar w:fldCharType="end"/>
      </w:r>
    </w:p>
    <w:p w:rsidR="00CB49EC" w:rsidRDefault="00CB49EC">
      <w:pPr>
        <w:spacing w:after="200" w:line="276" w:lineRule="auto"/>
      </w:pPr>
      <w:r>
        <w:br w:type="page"/>
      </w:r>
    </w:p>
    <w:p w:rsidR="0080691E" w:rsidRDefault="004379FD" w:rsidP="00CB49EC">
      <w:pPr>
        <w:tabs>
          <w:tab w:val="left" w:pos="1843"/>
        </w:tabs>
        <w:jc w:val="both"/>
      </w:pPr>
      <w:r w:rsidRPr="00A9271A">
        <w:t>Følgende lån inngår i hybridkapital og ansvarlig</w:t>
      </w:r>
      <w:r w:rsidR="00EC65C0">
        <w:t xml:space="preserve"> lånekapital (nominelle størrelser):</w:t>
      </w:r>
    </w:p>
    <w:p w:rsidR="00CB49EC" w:rsidRPr="00CB49EC" w:rsidRDefault="00CB49EC" w:rsidP="00CB49EC">
      <w:pPr>
        <w:tabs>
          <w:tab w:val="left" w:pos="1843"/>
        </w:tabs>
        <w:jc w:val="both"/>
      </w:pPr>
    </w:p>
    <w:p w:rsidR="004379FD" w:rsidRPr="00A9271A" w:rsidRDefault="004379FD" w:rsidP="004379FD">
      <w:pPr>
        <w:pStyle w:val="Bildetekst"/>
      </w:pPr>
      <w:bookmarkStart w:id="9" w:name="_Toc387671301"/>
      <w:r w:rsidRPr="00A9271A">
        <w:t xml:space="preserve">Tabell </w:t>
      </w:r>
      <w:r w:rsidR="00E42F82">
        <w:fldChar w:fldCharType="begin"/>
      </w:r>
      <w:r w:rsidR="00E42F82">
        <w:instrText xml:space="preserve"> SEQ Tabell \* ARABIC </w:instrText>
      </w:r>
      <w:r w:rsidR="00E42F82">
        <w:fldChar w:fldCharType="separate"/>
      </w:r>
      <w:r w:rsidR="00CB49EC">
        <w:rPr>
          <w:noProof/>
        </w:rPr>
        <w:t>3</w:t>
      </w:r>
      <w:r w:rsidR="00E42F82">
        <w:rPr>
          <w:noProof/>
        </w:rPr>
        <w:fldChar w:fldCharType="end"/>
      </w:r>
      <w:r w:rsidRPr="00A9271A">
        <w:t xml:space="preserve"> Ansvarlige lån / fondsobligasjon</w:t>
      </w:r>
      <w:bookmarkEnd w:id="9"/>
    </w:p>
    <w:p w:rsidR="004379FD" w:rsidRPr="00BF5ABC" w:rsidRDefault="004379FD" w:rsidP="004379FD">
      <w:pPr>
        <w:rPr>
          <w:color w:val="FF0000"/>
          <w:lang w:eastAsia="nb-NO"/>
        </w:rPr>
      </w:pPr>
    </w:p>
    <w:p w:rsidR="004379FD" w:rsidRPr="00BF5ABC" w:rsidRDefault="004379FD" w:rsidP="004379FD">
      <w:pPr>
        <w:jc w:val="both"/>
        <w:rPr>
          <w:color w:val="FF0000"/>
        </w:rPr>
      </w:pPr>
    </w:p>
    <w:tbl>
      <w:tblPr>
        <w:tblW w:w="9520" w:type="dxa"/>
        <w:tblInd w:w="70" w:type="dxa"/>
        <w:tblCellMar>
          <w:left w:w="70" w:type="dxa"/>
          <w:right w:w="70" w:type="dxa"/>
        </w:tblCellMar>
        <w:tblLook w:val="04A0" w:firstRow="1" w:lastRow="0" w:firstColumn="1" w:lastColumn="0" w:noHBand="0" w:noVBand="1"/>
      </w:tblPr>
      <w:tblGrid>
        <w:gridCol w:w="3040"/>
        <w:gridCol w:w="1216"/>
        <w:gridCol w:w="1316"/>
        <w:gridCol w:w="1216"/>
        <w:gridCol w:w="1216"/>
        <w:gridCol w:w="1516"/>
      </w:tblGrid>
      <w:tr w:rsidR="00EF0DD5" w:rsidRPr="00EF0DD5" w:rsidTr="00EF0DD5">
        <w:trPr>
          <w:trHeight w:val="300"/>
        </w:trPr>
        <w:tc>
          <w:tcPr>
            <w:tcW w:w="3040" w:type="dxa"/>
            <w:tcBorders>
              <w:top w:val="nil"/>
              <w:left w:val="nil"/>
              <w:bottom w:val="nil"/>
              <w:right w:val="nil"/>
            </w:tcBorders>
            <w:shd w:val="clear" w:color="000000" w:fill="D9D9D9"/>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Type</w:t>
            </w:r>
          </w:p>
        </w:tc>
        <w:tc>
          <w:tcPr>
            <w:tcW w:w="1216" w:type="dxa"/>
            <w:tcBorders>
              <w:top w:val="nil"/>
              <w:left w:val="nil"/>
              <w:bottom w:val="nil"/>
              <w:right w:val="nil"/>
            </w:tcBorders>
            <w:shd w:val="clear" w:color="000000" w:fill="D9D9D9"/>
            <w:noWrap/>
            <w:vAlign w:val="bottom"/>
            <w:hideMark/>
          </w:tcPr>
          <w:p w:rsidR="00EF0DD5" w:rsidRPr="00EF0DD5" w:rsidRDefault="00EF0DD5" w:rsidP="00EF0DD5">
            <w:pPr>
              <w:rPr>
                <w:rFonts w:ascii="Calibri" w:eastAsia="Times New Roman" w:hAnsi="Calibri" w:cs="Times New Roman"/>
                <w:b/>
                <w:bCs/>
                <w:color w:val="000000"/>
                <w:szCs w:val="18"/>
                <w:lang w:eastAsia="nb-NO"/>
              </w:rPr>
            </w:pPr>
            <w:proofErr w:type="spellStart"/>
            <w:r w:rsidRPr="00EF0DD5">
              <w:rPr>
                <w:rFonts w:ascii="Calibri" w:eastAsia="Times New Roman" w:hAnsi="Calibri" w:cs="Times New Roman"/>
                <w:b/>
                <w:bCs/>
                <w:color w:val="000000"/>
                <w:szCs w:val="18"/>
                <w:lang w:eastAsia="nb-NO"/>
              </w:rPr>
              <w:t>Opptaksår</w:t>
            </w:r>
            <w:proofErr w:type="spellEnd"/>
          </w:p>
        </w:tc>
        <w:tc>
          <w:tcPr>
            <w:tcW w:w="1316" w:type="dxa"/>
            <w:tcBorders>
              <w:top w:val="nil"/>
              <w:left w:val="nil"/>
              <w:bottom w:val="nil"/>
              <w:right w:val="nil"/>
            </w:tcBorders>
            <w:shd w:val="clear" w:color="000000" w:fill="D9D9D9"/>
            <w:noWrap/>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Betingelser</w:t>
            </w:r>
          </w:p>
        </w:tc>
        <w:tc>
          <w:tcPr>
            <w:tcW w:w="1216" w:type="dxa"/>
            <w:tcBorders>
              <w:top w:val="nil"/>
              <w:left w:val="nil"/>
              <w:bottom w:val="nil"/>
              <w:right w:val="nil"/>
            </w:tcBorders>
            <w:shd w:val="clear" w:color="000000" w:fill="D9D9D9"/>
            <w:noWrap/>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Forfall</w:t>
            </w:r>
          </w:p>
        </w:tc>
        <w:tc>
          <w:tcPr>
            <w:tcW w:w="1216" w:type="dxa"/>
            <w:tcBorders>
              <w:top w:val="nil"/>
              <w:left w:val="nil"/>
              <w:bottom w:val="nil"/>
              <w:right w:val="nil"/>
            </w:tcBorders>
            <w:shd w:val="clear" w:color="000000" w:fill="D9D9D9"/>
            <w:noWrap/>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Call dato</w:t>
            </w:r>
          </w:p>
        </w:tc>
        <w:tc>
          <w:tcPr>
            <w:tcW w:w="1516" w:type="dxa"/>
            <w:tcBorders>
              <w:top w:val="nil"/>
              <w:left w:val="nil"/>
              <w:bottom w:val="nil"/>
              <w:right w:val="nil"/>
            </w:tcBorders>
            <w:shd w:val="clear" w:color="000000" w:fill="D9D9D9"/>
            <w:noWrap/>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Nominell verdi</w:t>
            </w:r>
          </w:p>
        </w:tc>
      </w:tr>
      <w:tr w:rsidR="00EF0DD5" w:rsidRPr="00EF0DD5" w:rsidTr="00EF0DD5">
        <w:trPr>
          <w:trHeight w:val="600"/>
        </w:trPr>
        <w:tc>
          <w:tcPr>
            <w:tcW w:w="3040" w:type="dxa"/>
            <w:tcBorders>
              <w:top w:val="nil"/>
              <w:left w:val="nil"/>
              <w:bottom w:val="nil"/>
              <w:right w:val="nil"/>
            </w:tcBorders>
            <w:shd w:val="clear" w:color="000000" w:fill="FFFFFF"/>
            <w:noWrap/>
            <w:vAlign w:val="bottom"/>
            <w:hideMark/>
          </w:tcPr>
          <w:p w:rsidR="00EF0DD5" w:rsidRPr="00EF0DD5" w:rsidRDefault="00EF0DD5" w:rsidP="00EF0DD5">
            <w:pP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Ansvarlig lån - tidsbegrenset</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2013</w:t>
            </w:r>
          </w:p>
        </w:tc>
        <w:tc>
          <w:tcPr>
            <w:tcW w:w="1316" w:type="dxa"/>
            <w:tcBorders>
              <w:top w:val="nil"/>
              <w:left w:val="nil"/>
              <w:bottom w:val="nil"/>
              <w:right w:val="nil"/>
            </w:tcBorders>
            <w:shd w:val="clear" w:color="000000" w:fill="FFFFFF"/>
            <w:vAlign w:val="bottom"/>
            <w:hideMark/>
          </w:tcPr>
          <w:p w:rsidR="00EF0DD5" w:rsidRPr="00EF0DD5" w:rsidRDefault="00EF0DD5" w:rsidP="00EF0DD5">
            <w:pP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xml:space="preserve">3 </w:t>
            </w:r>
            <w:proofErr w:type="spellStart"/>
            <w:r w:rsidRPr="00EF0DD5">
              <w:rPr>
                <w:rFonts w:ascii="Calibri" w:eastAsia="Times New Roman" w:hAnsi="Calibri" w:cs="Times New Roman"/>
                <w:color w:val="000000"/>
                <w:szCs w:val="18"/>
                <w:lang w:eastAsia="nb-NO"/>
              </w:rPr>
              <w:t>mnd</w:t>
            </w:r>
            <w:proofErr w:type="spellEnd"/>
            <w:r w:rsidRPr="00EF0DD5">
              <w:rPr>
                <w:rFonts w:ascii="Calibri" w:eastAsia="Times New Roman" w:hAnsi="Calibri" w:cs="Times New Roman"/>
                <w:color w:val="000000"/>
                <w:szCs w:val="18"/>
                <w:lang w:eastAsia="nb-NO"/>
              </w:rPr>
              <w:t xml:space="preserve"> </w:t>
            </w:r>
            <w:proofErr w:type="spellStart"/>
            <w:r w:rsidRPr="00EF0DD5">
              <w:rPr>
                <w:rFonts w:ascii="Calibri" w:eastAsia="Times New Roman" w:hAnsi="Calibri" w:cs="Times New Roman"/>
                <w:color w:val="000000"/>
                <w:szCs w:val="18"/>
                <w:lang w:eastAsia="nb-NO"/>
              </w:rPr>
              <w:t>Nibor</w:t>
            </w:r>
            <w:proofErr w:type="spellEnd"/>
            <w:r w:rsidRPr="00EF0DD5">
              <w:rPr>
                <w:rFonts w:ascii="Calibri" w:eastAsia="Times New Roman" w:hAnsi="Calibri" w:cs="Times New Roman"/>
                <w:color w:val="000000"/>
                <w:szCs w:val="18"/>
                <w:lang w:eastAsia="nb-NO"/>
              </w:rPr>
              <w:t xml:space="preserve"> + 1,95 %</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24.06.2023</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25.06.2018</w:t>
            </w:r>
          </w:p>
        </w:tc>
        <w:tc>
          <w:tcPr>
            <w:tcW w:w="1516" w:type="dxa"/>
            <w:tcBorders>
              <w:top w:val="nil"/>
              <w:left w:val="nil"/>
              <w:bottom w:val="nil"/>
              <w:right w:val="nil"/>
            </w:tcBorders>
            <w:shd w:val="clear" w:color="000000" w:fill="FFFFFF"/>
            <w:noWrap/>
            <w:vAlign w:val="bottom"/>
            <w:hideMark/>
          </w:tcPr>
          <w:p w:rsidR="00EF0DD5" w:rsidRPr="00EF0DD5" w:rsidRDefault="00EF0DD5" w:rsidP="00EF0DD5">
            <w:pPr>
              <w:jc w:val="right"/>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350.000</w:t>
            </w:r>
          </w:p>
        </w:tc>
      </w:tr>
      <w:tr w:rsidR="00EF0DD5" w:rsidRPr="00EF0DD5" w:rsidTr="00EF0DD5">
        <w:trPr>
          <w:trHeight w:val="300"/>
        </w:trPr>
        <w:tc>
          <w:tcPr>
            <w:tcW w:w="3040" w:type="dxa"/>
            <w:tcBorders>
              <w:top w:val="single" w:sz="4" w:space="0" w:color="auto"/>
              <w:left w:val="nil"/>
              <w:bottom w:val="single" w:sz="4" w:space="0" w:color="auto"/>
              <w:right w:val="nil"/>
            </w:tcBorders>
            <w:shd w:val="clear" w:color="000000" w:fill="FFFFFF"/>
            <w:noWrap/>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Sum tilleggskapital</w:t>
            </w:r>
          </w:p>
        </w:tc>
        <w:tc>
          <w:tcPr>
            <w:tcW w:w="1216" w:type="dxa"/>
            <w:tcBorders>
              <w:top w:val="single" w:sz="4" w:space="0" w:color="auto"/>
              <w:left w:val="nil"/>
              <w:bottom w:val="single" w:sz="4" w:space="0" w:color="auto"/>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w:t>
            </w:r>
          </w:p>
        </w:tc>
        <w:tc>
          <w:tcPr>
            <w:tcW w:w="1316" w:type="dxa"/>
            <w:tcBorders>
              <w:top w:val="single" w:sz="4" w:space="0" w:color="auto"/>
              <w:left w:val="nil"/>
              <w:bottom w:val="single" w:sz="4" w:space="0" w:color="auto"/>
              <w:right w:val="nil"/>
            </w:tcBorders>
            <w:shd w:val="clear" w:color="000000" w:fill="FFFFFF"/>
            <w:noWrap/>
            <w:vAlign w:val="bottom"/>
            <w:hideMark/>
          </w:tcPr>
          <w:p w:rsidR="00EF0DD5" w:rsidRPr="00EF0DD5" w:rsidRDefault="00EF0DD5" w:rsidP="00EF0DD5">
            <w:pP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w:t>
            </w:r>
          </w:p>
        </w:tc>
        <w:tc>
          <w:tcPr>
            <w:tcW w:w="1216" w:type="dxa"/>
            <w:tcBorders>
              <w:top w:val="single" w:sz="4" w:space="0" w:color="auto"/>
              <w:left w:val="nil"/>
              <w:bottom w:val="single" w:sz="4" w:space="0" w:color="auto"/>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w:t>
            </w:r>
          </w:p>
        </w:tc>
        <w:tc>
          <w:tcPr>
            <w:tcW w:w="1216" w:type="dxa"/>
            <w:tcBorders>
              <w:top w:val="single" w:sz="4" w:space="0" w:color="auto"/>
              <w:left w:val="nil"/>
              <w:bottom w:val="single" w:sz="4" w:space="0" w:color="auto"/>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w:t>
            </w:r>
          </w:p>
        </w:tc>
        <w:tc>
          <w:tcPr>
            <w:tcW w:w="1516" w:type="dxa"/>
            <w:tcBorders>
              <w:top w:val="single" w:sz="4" w:space="0" w:color="auto"/>
              <w:left w:val="nil"/>
              <w:bottom w:val="single" w:sz="4" w:space="0" w:color="auto"/>
              <w:right w:val="nil"/>
            </w:tcBorders>
            <w:shd w:val="clear" w:color="000000" w:fill="FFFFFF"/>
            <w:noWrap/>
            <w:vAlign w:val="bottom"/>
            <w:hideMark/>
          </w:tcPr>
          <w:p w:rsidR="00EF0DD5" w:rsidRPr="00EF0DD5" w:rsidRDefault="00EF0DD5" w:rsidP="00EF0DD5">
            <w:pPr>
              <w:jc w:val="right"/>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350.000</w:t>
            </w:r>
          </w:p>
        </w:tc>
      </w:tr>
      <w:tr w:rsidR="00EF0DD5" w:rsidRPr="00EF0DD5" w:rsidTr="00EF0DD5">
        <w:trPr>
          <w:trHeight w:val="300"/>
        </w:trPr>
        <w:tc>
          <w:tcPr>
            <w:tcW w:w="3040" w:type="dxa"/>
            <w:tcBorders>
              <w:top w:val="nil"/>
              <w:left w:val="nil"/>
              <w:bottom w:val="nil"/>
              <w:right w:val="nil"/>
            </w:tcBorders>
            <w:shd w:val="clear" w:color="000000" w:fill="FFFFFF"/>
            <w:noWrap/>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 </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w:t>
            </w:r>
          </w:p>
        </w:tc>
        <w:tc>
          <w:tcPr>
            <w:tcW w:w="1316" w:type="dxa"/>
            <w:tcBorders>
              <w:top w:val="nil"/>
              <w:left w:val="nil"/>
              <w:bottom w:val="nil"/>
              <w:right w:val="nil"/>
            </w:tcBorders>
            <w:shd w:val="clear" w:color="000000" w:fill="FFFFFF"/>
            <w:noWrap/>
            <w:vAlign w:val="bottom"/>
            <w:hideMark/>
          </w:tcPr>
          <w:p w:rsidR="00EF0DD5" w:rsidRPr="00EF0DD5" w:rsidRDefault="00EF0DD5" w:rsidP="00EF0DD5">
            <w:pP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w:t>
            </w:r>
          </w:p>
        </w:tc>
        <w:tc>
          <w:tcPr>
            <w:tcW w:w="1516" w:type="dxa"/>
            <w:tcBorders>
              <w:top w:val="nil"/>
              <w:left w:val="nil"/>
              <w:bottom w:val="nil"/>
              <w:right w:val="nil"/>
            </w:tcBorders>
            <w:shd w:val="clear" w:color="000000" w:fill="FFFFFF"/>
            <w:noWrap/>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 </w:t>
            </w:r>
          </w:p>
        </w:tc>
      </w:tr>
      <w:tr w:rsidR="00EF0DD5" w:rsidRPr="00EF0DD5" w:rsidTr="00EF0DD5">
        <w:trPr>
          <w:trHeight w:val="300"/>
        </w:trPr>
        <w:tc>
          <w:tcPr>
            <w:tcW w:w="3040" w:type="dxa"/>
            <w:tcBorders>
              <w:top w:val="nil"/>
              <w:left w:val="nil"/>
              <w:bottom w:val="nil"/>
              <w:right w:val="nil"/>
            </w:tcBorders>
            <w:shd w:val="clear" w:color="000000" w:fill="D9D9D9"/>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Type</w:t>
            </w:r>
          </w:p>
        </w:tc>
        <w:tc>
          <w:tcPr>
            <w:tcW w:w="1216" w:type="dxa"/>
            <w:tcBorders>
              <w:top w:val="nil"/>
              <w:left w:val="nil"/>
              <w:bottom w:val="nil"/>
              <w:right w:val="nil"/>
            </w:tcBorders>
            <w:shd w:val="clear" w:color="000000" w:fill="D9D9D9"/>
            <w:vAlign w:val="bottom"/>
            <w:hideMark/>
          </w:tcPr>
          <w:p w:rsidR="00EF0DD5" w:rsidRPr="00EF0DD5" w:rsidRDefault="00EF0DD5" w:rsidP="00EF0DD5">
            <w:pPr>
              <w:rPr>
                <w:rFonts w:ascii="Calibri" w:eastAsia="Times New Roman" w:hAnsi="Calibri" w:cs="Times New Roman"/>
                <w:b/>
                <w:bCs/>
                <w:color w:val="000000"/>
                <w:szCs w:val="18"/>
                <w:lang w:eastAsia="nb-NO"/>
              </w:rPr>
            </w:pPr>
            <w:proofErr w:type="spellStart"/>
            <w:r w:rsidRPr="00EF0DD5">
              <w:rPr>
                <w:rFonts w:ascii="Calibri" w:eastAsia="Times New Roman" w:hAnsi="Calibri" w:cs="Times New Roman"/>
                <w:b/>
                <w:bCs/>
                <w:color w:val="000000"/>
                <w:szCs w:val="18"/>
                <w:lang w:eastAsia="nb-NO"/>
              </w:rPr>
              <w:t>Opptaksår</w:t>
            </w:r>
            <w:proofErr w:type="spellEnd"/>
          </w:p>
        </w:tc>
        <w:tc>
          <w:tcPr>
            <w:tcW w:w="1316" w:type="dxa"/>
            <w:tcBorders>
              <w:top w:val="nil"/>
              <w:left w:val="nil"/>
              <w:bottom w:val="nil"/>
              <w:right w:val="nil"/>
            </w:tcBorders>
            <w:shd w:val="clear" w:color="000000" w:fill="D9D9D9"/>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Betingelser</w:t>
            </w:r>
          </w:p>
        </w:tc>
        <w:tc>
          <w:tcPr>
            <w:tcW w:w="1216" w:type="dxa"/>
            <w:tcBorders>
              <w:top w:val="nil"/>
              <w:left w:val="nil"/>
              <w:bottom w:val="nil"/>
              <w:right w:val="nil"/>
            </w:tcBorders>
            <w:shd w:val="clear" w:color="000000" w:fill="D9D9D9"/>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Forfall</w:t>
            </w:r>
          </w:p>
        </w:tc>
        <w:tc>
          <w:tcPr>
            <w:tcW w:w="1216" w:type="dxa"/>
            <w:tcBorders>
              <w:top w:val="nil"/>
              <w:left w:val="nil"/>
              <w:bottom w:val="nil"/>
              <w:right w:val="nil"/>
            </w:tcBorders>
            <w:shd w:val="clear" w:color="000000" w:fill="D9D9D9"/>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Call dato</w:t>
            </w:r>
          </w:p>
        </w:tc>
        <w:tc>
          <w:tcPr>
            <w:tcW w:w="1516" w:type="dxa"/>
            <w:tcBorders>
              <w:top w:val="nil"/>
              <w:left w:val="nil"/>
              <w:bottom w:val="nil"/>
              <w:right w:val="nil"/>
            </w:tcBorders>
            <w:shd w:val="clear" w:color="000000" w:fill="D9D9D9"/>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Nominell verdi</w:t>
            </w:r>
          </w:p>
        </w:tc>
      </w:tr>
      <w:tr w:rsidR="00EF0DD5" w:rsidRPr="00EF0DD5" w:rsidTr="00EF0DD5">
        <w:trPr>
          <w:trHeight w:val="600"/>
        </w:trPr>
        <w:tc>
          <w:tcPr>
            <w:tcW w:w="3040" w:type="dxa"/>
            <w:tcBorders>
              <w:top w:val="nil"/>
              <w:left w:val="nil"/>
              <w:bottom w:val="nil"/>
              <w:right w:val="nil"/>
            </w:tcBorders>
            <w:shd w:val="clear" w:color="000000" w:fill="FFFFFF"/>
            <w:noWrap/>
            <w:vAlign w:val="bottom"/>
            <w:hideMark/>
          </w:tcPr>
          <w:p w:rsidR="00EF0DD5" w:rsidRPr="00EF0DD5" w:rsidRDefault="00EF0DD5" w:rsidP="00EF0DD5">
            <w:pP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Fondsobligasjon - tidsbegrenset</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2004</w:t>
            </w:r>
          </w:p>
        </w:tc>
        <w:tc>
          <w:tcPr>
            <w:tcW w:w="1316" w:type="dxa"/>
            <w:tcBorders>
              <w:top w:val="nil"/>
              <w:left w:val="nil"/>
              <w:bottom w:val="nil"/>
              <w:right w:val="nil"/>
            </w:tcBorders>
            <w:shd w:val="clear" w:color="000000" w:fill="FFFFFF"/>
            <w:vAlign w:val="bottom"/>
            <w:hideMark/>
          </w:tcPr>
          <w:p w:rsidR="00EF0DD5" w:rsidRPr="00EF0DD5" w:rsidRDefault="00EF0DD5" w:rsidP="00EF0DD5">
            <w:pP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xml:space="preserve">3 </w:t>
            </w:r>
            <w:proofErr w:type="spellStart"/>
            <w:r w:rsidRPr="00EF0DD5">
              <w:rPr>
                <w:rFonts w:ascii="Calibri" w:eastAsia="Times New Roman" w:hAnsi="Calibri" w:cs="Times New Roman"/>
                <w:color w:val="000000"/>
                <w:szCs w:val="18"/>
                <w:lang w:eastAsia="nb-NO"/>
              </w:rPr>
              <w:t>mnd</w:t>
            </w:r>
            <w:proofErr w:type="spellEnd"/>
            <w:r w:rsidRPr="00EF0DD5">
              <w:rPr>
                <w:rFonts w:ascii="Calibri" w:eastAsia="Times New Roman" w:hAnsi="Calibri" w:cs="Times New Roman"/>
                <w:color w:val="000000"/>
                <w:szCs w:val="18"/>
                <w:lang w:eastAsia="nb-NO"/>
              </w:rPr>
              <w:t xml:space="preserve"> </w:t>
            </w:r>
            <w:proofErr w:type="spellStart"/>
            <w:r w:rsidRPr="00EF0DD5">
              <w:rPr>
                <w:rFonts w:ascii="Calibri" w:eastAsia="Times New Roman" w:hAnsi="Calibri" w:cs="Times New Roman"/>
                <w:color w:val="000000"/>
                <w:szCs w:val="18"/>
                <w:lang w:eastAsia="nb-NO"/>
              </w:rPr>
              <w:t>Nibor</w:t>
            </w:r>
            <w:proofErr w:type="spellEnd"/>
            <w:r w:rsidRPr="00EF0DD5">
              <w:rPr>
                <w:rFonts w:ascii="Calibri" w:eastAsia="Times New Roman" w:hAnsi="Calibri" w:cs="Times New Roman"/>
                <w:color w:val="000000"/>
                <w:szCs w:val="18"/>
                <w:lang w:eastAsia="nb-NO"/>
              </w:rPr>
              <w:t xml:space="preserve"> + 2, 5%</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30.06.2014</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30.06.2014</w:t>
            </w:r>
          </w:p>
        </w:tc>
        <w:tc>
          <w:tcPr>
            <w:tcW w:w="1516" w:type="dxa"/>
            <w:tcBorders>
              <w:top w:val="nil"/>
              <w:left w:val="nil"/>
              <w:bottom w:val="nil"/>
              <w:right w:val="nil"/>
            </w:tcBorders>
            <w:shd w:val="clear" w:color="000000" w:fill="FFFFFF"/>
            <w:noWrap/>
            <w:vAlign w:val="bottom"/>
            <w:hideMark/>
          </w:tcPr>
          <w:p w:rsidR="00EF0DD5" w:rsidRPr="00EF0DD5" w:rsidRDefault="00EF0DD5" w:rsidP="00EF0DD5">
            <w:pPr>
              <w:jc w:val="right"/>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55.500</w:t>
            </w:r>
          </w:p>
        </w:tc>
      </w:tr>
      <w:tr w:rsidR="00EF0DD5" w:rsidRPr="00EF0DD5" w:rsidTr="00EF0DD5">
        <w:trPr>
          <w:trHeight w:val="600"/>
        </w:trPr>
        <w:tc>
          <w:tcPr>
            <w:tcW w:w="3040" w:type="dxa"/>
            <w:tcBorders>
              <w:top w:val="nil"/>
              <w:left w:val="nil"/>
              <w:bottom w:val="nil"/>
              <w:right w:val="nil"/>
            </w:tcBorders>
            <w:shd w:val="clear" w:color="000000" w:fill="FFFFFF"/>
            <w:noWrap/>
            <w:vAlign w:val="bottom"/>
            <w:hideMark/>
          </w:tcPr>
          <w:p w:rsidR="00EF0DD5" w:rsidRPr="00EF0DD5" w:rsidRDefault="00EF0DD5" w:rsidP="00EF0DD5">
            <w:pP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Fondsobligasjon - evigvarende</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2011</w:t>
            </w:r>
          </w:p>
        </w:tc>
        <w:tc>
          <w:tcPr>
            <w:tcW w:w="1316" w:type="dxa"/>
            <w:tcBorders>
              <w:top w:val="nil"/>
              <w:left w:val="nil"/>
              <w:bottom w:val="nil"/>
              <w:right w:val="nil"/>
            </w:tcBorders>
            <w:shd w:val="clear" w:color="000000" w:fill="FFFFFF"/>
            <w:vAlign w:val="bottom"/>
            <w:hideMark/>
          </w:tcPr>
          <w:p w:rsidR="00EF0DD5" w:rsidRPr="00EF0DD5" w:rsidRDefault="00EF0DD5" w:rsidP="00EF0DD5">
            <w:pP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xml:space="preserve">3 </w:t>
            </w:r>
            <w:proofErr w:type="spellStart"/>
            <w:r w:rsidRPr="00EF0DD5">
              <w:rPr>
                <w:rFonts w:ascii="Calibri" w:eastAsia="Times New Roman" w:hAnsi="Calibri" w:cs="Times New Roman"/>
                <w:color w:val="000000"/>
                <w:szCs w:val="18"/>
                <w:lang w:eastAsia="nb-NO"/>
              </w:rPr>
              <w:t>mnd</w:t>
            </w:r>
            <w:proofErr w:type="spellEnd"/>
            <w:r w:rsidRPr="00EF0DD5">
              <w:rPr>
                <w:rFonts w:ascii="Calibri" w:eastAsia="Times New Roman" w:hAnsi="Calibri" w:cs="Times New Roman"/>
                <w:color w:val="000000"/>
                <w:szCs w:val="18"/>
                <w:lang w:eastAsia="nb-NO"/>
              </w:rPr>
              <w:t xml:space="preserve"> </w:t>
            </w:r>
            <w:proofErr w:type="spellStart"/>
            <w:r w:rsidRPr="00EF0DD5">
              <w:rPr>
                <w:rFonts w:ascii="Calibri" w:eastAsia="Times New Roman" w:hAnsi="Calibri" w:cs="Times New Roman"/>
                <w:color w:val="000000"/>
                <w:szCs w:val="18"/>
                <w:lang w:eastAsia="nb-NO"/>
              </w:rPr>
              <w:t>Nibor</w:t>
            </w:r>
            <w:proofErr w:type="spellEnd"/>
            <w:r w:rsidRPr="00EF0DD5">
              <w:rPr>
                <w:rFonts w:ascii="Calibri" w:eastAsia="Times New Roman" w:hAnsi="Calibri" w:cs="Times New Roman"/>
                <w:color w:val="000000"/>
                <w:szCs w:val="18"/>
                <w:lang w:eastAsia="nb-NO"/>
              </w:rPr>
              <w:t xml:space="preserve"> + 4,5 %</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IA</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07.06.2016</w:t>
            </w:r>
          </w:p>
        </w:tc>
        <w:tc>
          <w:tcPr>
            <w:tcW w:w="1516" w:type="dxa"/>
            <w:tcBorders>
              <w:top w:val="nil"/>
              <w:left w:val="nil"/>
              <w:bottom w:val="nil"/>
              <w:right w:val="nil"/>
            </w:tcBorders>
            <w:shd w:val="clear" w:color="000000" w:fill="FFFFFF"/>
            <w:noWrap/>
            <w:vAlign w:val="bottom"/>
            <w:hideMark/>
          </w:tcPr>
          <w:p w:rsidR="00EF0DD5" w:rsidRPr="00EF0DD5" w:rsidRDefault="00EF0DD5" w:rsidP="00EF0DD5">
            <w:pPr>
              <w:jc w:val="right"/>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300.000</w:t>
            </w:r>
          </w:p>
        </w:tc>
      </w:tr>
      <w:tr w:rsidR="00EF0DD5" w:rsidRPr="00EF0DD5" w:rsidTr="00EF0DD5">
        <w:trPr>
          <w:trHeight w:val="300"/>
        </w:trPr>
        <w:tc>
          <w:tcPr>
            <w:tcW w:w="3040" w:type="dxa"/>
            <w:tcBorders>
              <w:top w:val="nil"/>
              <w:left w:val="nil"/>
              <w:bottom w:val="nil"/>
              <w:right w:val="nil"/>
            </w:tcBorders>
            <w:shd w:val="clear" w:color="000000" w:fill="FFFFFF"/>
            <w:noWrap/>
            <w:vAlign w:val="bottom"/>
            <w:hideMark/>
          </w:tcPr>
          <w:p w:rsidR="00EF0DD5" w:rsidRPr="00EF0DD5" w:rsidRDefault="00EF0DD5" w:rsidP="00EF0DD5">
            <w:pP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Fondsobligasjon - evigvarende</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2004</w:t>
            </w:r>
          </w:p>
        </w:tc>
        <w:tc>
          <w:tcPr>
            <w:tcW w:w="1316" w:type="dxa"/>
            <w:tcBorders>
              <w:top w:val="nil"/>
              <w:left w:val="nil"/>
              <w:bottom w:val="nil"/>
              <w:right w:val="nil"/>
            </w:tcBorders>
            <w:shd w:val="clear" w:color="000000" w:fill="FFFFFF"/>
            <w:vAlign w:val="bottom"/>
            <w:hideMark/>
          </w:tcPr>
          <w:p w:rsidR="00EF0DD5" w:rsidRPr="00EF0DD5" w:rsidRDefault="00EF0DD5" w:rsidP="00EF0DD5">
            <w:pP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xml:space="preserve">7,64 % </w:t>
            </w:r>
            <w:proofErr w:type="spellStart"/>
            <w:r w:rsidRPr="00EF0DD5">
              <w:rPr>
                <w:rFonts w:ascii="Calibri" w:eastAsia="Times New Roman" w:hAnsi="Calibri" w:cs="Times New Roman"/>
                <w:color w:val="000000"/>
                <w:szCs w:val="18"/>
                <w:lang w:eastAsia="nb-NO"/>
              </w:rPr>
              <w:t>p.a</w:t>
            </w:r>
            <w:proofErr w:type="spellEnd"/>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IA</w:t>
            </w:r>
          </w:p>
        </w:tc>
        <w:tc>
          <w:tcPr>
            <w:tcW w:w="1216" w:type="dxa"/>
            <w:tcBorders>
              <w:top w:val="nil"/>
              <w:left w:val="nil"/>
              <w:bottom w:val="nil"/>
              <w:right w:val="nil"/>
            </w:tcBorders>
            <w:shd w:val="clear" w:color="000000" w:fill="FFFFFF"/>
            <w:noWrap/>
            <w:vAlign w:val="bottom"/>
            <w:hideMark/>
          </w:tcPr>
          <w:p w:rsidR="00EF0DD5" w:rsidRPr="00EF0DD5" w:rsidRDefault="00EF0DD5" w:rsidP="00EF0DD5">
            <w:pPr>
              <w:jc w:val="cente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30.06.2014</w:t>
            </w:r>
          </w:p>
        </w:tc>
        <w:tc>
          <w:tcPr>
            <w:tcW w:w="1516" w:type="dxa"/>
            <w:tcBorders>
              <w:top w:val="nil"/>
              <w:left w:val="nil"/>
              <w:bottom w:val="nil"/>
              <w:right w:val="nil"/>
            </w:tcBorders>
            <w:shd w:val="clear" w:color="000000" w:fill="FFFFFF"/>
            <w:noWrap/>
            <w:vAlign w:val="bottom"/>
            <w:hideMark/>
          </w:tcPr>
          <w:p w:rsidR="00EF0DD5" w:rsidRPr="00EF0DD5" w:rsidRDefault="00EF0DD5" w:rsidP="00EF0DD5">
            <w:pPr>
              <w:jc w:val="right"/>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144.500</w:t>
            </w:r>
          </w:p>
        </w:tc>
      </w:tr>
      <w:tr w:rsidR="00EF0DD5" w:rsidRPr="00EF0DD5" w:rsidTr="00EF0DD5">
        <w:trPr>
          <w:trHeight w:val="300"/>
        </w:trPr>
        <w:tc>
          <w:tcPr>
            <w:tcW w:w="4256" w:type="dxa"/>
            <w:gridSpan w:val="2"/>
            <w:tcBorders>
              <w:top w:val="single" w:sz="4" w:space="0" w:color="auto"/>
              <w:left w:val="nil"/>
              <w:bottom w:val="single" w:sz="4" w:space="0" w:color="auto"/>
              <w:right w:val="nil"/>
            </w:tcBorders>
            <w:shd w:val="clear" w:color="000000" w:fill="FFFFFF"/>
            <w:noWrap/>
            <w:vAlign w:val="bottom"/>
            <w:hideMark/>
          </w:tcPr>
          <w:p w:rsidR="00EF0DD5" w:rsidRPr="00EF0DD5" w:rsidRDefault="00EF0DD5" w:rsidP="00EF0DD5">
            <w:pPr>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Sum annen kjernekapital (hybrid kapital)</w:t>
            </w:r>
          </w:p>
        </w:tc>
        <w:tc>
          <w:tcPr>
            <w:tcW w:w="1316" w:type="dxa"/>
            <w:tcBorders>
              <w:top w:val="single" w:sz="4" w:space="0" w:color="auto"/>
              <w:left w:val="nil"/>
              <w:bottom w:val="single" w:sz="4" w:space="0" w:color="auto"/>
              <w:right w:val="nil"/>
            </w:tcBorders>
            <w:shd w:val="clear" w:color="000000" w:fill="FFFFFF"/>
            <w:noWrap/>
            <w:vAlign w:val="bottom"/>
            <w:hideMark/>
          </w:tcPr>
          <w:p w:rsidR="00EF0DD5" w:rsidRPr="00EF0DD5" w:rsidRDefault="00EF0DD5" w:rsidP="00EF0DD5">
            <w:pP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w:t>
            </w:r>
          </w:p>
        </w:tc>
        <w:tc>
          <w:tcPr>
            <w:tcW w:w="1216" w:type="dxa"/>
            <w:tcBorders>
              <w:top w:val="single" w:sz="4" w:space="0" w:color="auto"/>
              <w:left w:val="nil"/>
              <w:bottom w:val="single" w:sz="4" w:space="0" w:color="auto"/>
              <w:right w:val="nil"/>
            </w:tcBorders>
            <w:shd w:val="clear" w:color="000000" w:fill="FFFFFF"/>
            <w:noWrap/>
            <w:vAlign w:val="bottom"/>
            <w:hideMark/>
          </w:tcPr>
          <w:p w:rsidR="00EF0DD5" w:rsidRPr="00EF0DD5" w:rsidRDefault="00EF0DD5" w:rsidP="00EF0DD5">
            <w:pP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w:t>
            </w:r>
          </w:p>
        </w:tc>
        <w:tc>
          <w:tcPr>
            <w:tcW w:w="1216" w:type="dxa"/>
            <w:tcBorders>
              <w:top w:val="single" w:sz="4" w:space="0" w:color="auto"/>
              <w:left w:val="nil"/>
              <w:bottom w:val="single" w:sz="4" w:space="0" w:color="auto"/>
              <w:right w:val="nil"/>
            </w:tcBorders>
            <w:shd w:val="clear" w:color="000000" w:fill="FFFFFF"/>
            <w:noWrap/>
            <w:vAlign w:val="bottom"/>
            <w:hideMark/>
          </w:tcPr>
          <w:p w:rsidR="00EF0DD5" w:rsidRPr="00EF0DD5" w:rsidRDefault="00EF0DD5" w:rsidP="00EF0DD5">
            <w:pPr>
              <w:rPr>
                <w:rFonts w:ascii="Calibri" w:eastAsia="Times New Roman" w:hAnsi="Calibri" w:cs="Times New Roman"/>
                <w:color w:val="000000"/>
                <w:szCs w:val="18"/>
                <w:lang w:eastAsia="nb-NO"/>
              </w:rPr>
            </w:pPr>
            <w:r w:rsidRPr="00EF0DD5">
              <w:rPr>
                <w:rFonts w:ascii="Calibri" w:eastAsia="Times New Roman" w:hAnsi="Calibri" w:cs="Times New Roman"/>
                <w:color w:val="000000"/>
                <w:szCs w:val="18"/>
                <w:lang w:eastAsia="nb-NO"/>
              </w:rPr>
              <w:t> </w:t>
            </w:r>
          </w:p>
        </w:tc>
        <w:tc>
          <w:tcPr>
            <w:tcW w:w="1516" w:type="dxa"/>
            <w:tcBorders>
              <w:top w:val="single" w:sz="4" w:space="0" w:color="auto"/>
              <w:left w:val="nil"/>
              <w:bottom w:val="single" w:sz="4" w:space="0" w:color="auto"/>
              <w:right w:val="nil"/>
            </w:tcBorders>
            <w:shd w:val="clear" w:color="000000" w:fill="FFFFFF"/>
            <w:noWrap/>
            <w:vAlign w:val="bottom"/>
            <w:hideMark/>
          </w:tcPr>
          <w:p w:rsidR="00EF0DD5" w:rsidRPr="00EF0DD5" w:rsidRDefault="00EF0DD5" w:rsidP="00EF0DD5">
            <w:pPr>
              <w:jc w:val="right"/>
              <w:rPr>
                <w:rFonts w:ascii="Calibri" w:eastAsia="Times New Roman" w:hAnsi="Calibri" w:cs="Times New Roman"/>
                <w:b/>
                <w:bCs/>
                <w:color w:val="000000"/>
                <w:szCs w:val="18"/>
                <w:lang w:eastAsia="nb-NO"/>
              </w:rPr>
            </w:pPr>
            <w:r w:rsidRPr="00EF0DD5">
              <w:rPr>
                <w:rFonts w:ascii="Calibri" w:eastAsia="Times New Roman" w:hAnsi="Calibri" w:cs="Times New Roman"/>
                <w:b/>
                <w:bCs/>
                <w:color w:val="000000"/>
                <w:szCs w:val="18"/>
                <w:lang w:eastAsia="nb-NO"/>
              </w:rPr>
              <w:t>500.000</w:t>
            </w:r>
          </w:p>
        </w:tc>
      </w:tr>
    </w:tbl>
    <w:p w:rsidR="004379FD" w:rsidRPr="00BF5ABC" w:rsidRDefault="004379FD" w:rsidP="004379FD">
      <w:pPr>
        <w:jc w:val="both"/>
        <w:rPr>
          <w:color w:val="FF0000"/>
        </w:rPr>
      </w:pPr>
    </w:p>
    <w:p w:rsidR="004379FD" w:rsidRPr="00BF5ABC" w:rsidRDefault="004379FD" w:rsidP="004379FD">
      <w:pPr>
        <w:jc w:val="both"/>
        <w:rPr>
          <w:color w:val="FF0000"/>
        </w:rPr>
      </w:pPr>
    </w:p>
    <w:p w:rsidR="004379FD" w:rsidRPr="00EC65C0" w:rsidRDefault="0080691E" w:rsidP="0080691E">
      <w:r w:rsidRPr="00EC65C0">
        <w:t>(Fondsobliga</w:t>
      </w:r>
      <w:r w:rsidR="00EC65C0" w:rsidRPr="00EC65C0">
        <w:t>sjon med Call dato 30.06.14 vil</w:t>
      </w:r>
      <w:r w:rsidRPr="00EC65C0">
        <w:t xml:space="preserve"> </w:t>
      </w:r>
      <w:r w:rsidR="00EC65C0" w:rsidRPr="00EC65C0">
        <w:t>bli</w:t>
      </w:r>
      <w:r w:rsidRPr="00EC65C0">
        <w:t xml:space="preserve"> innfridd</w:t>
      </w:r>
      <w:r w:rsidR="00EC65C0" w:rsidRPr="00EC65C0">
        <w:t xml:space="preserve"> på "Call dato"</w:t>
      </w:r>
      <w:r w:rsidR="00EC65C0">
        <w:t xml:space="preserve"> –dette etter tillatelse fra Finanstilsynet).</w:t>
      </w:r>
    </w:p>
    <w:p w:rsidR="00300DB1" w:rsidRPr="00EC65C0" w:rsidRDefault="00300DB1">
      <w:pPr>
        <w:spacing w:after="200" w:line="276" w:lineRule="auto"/>
        <w:rPr>
          <w:rStyle w:val="Overskrift3Tegn"/>
          <w:b w:val="0"/>
          <w:color w:val="000000" w:themeColor="text1"/>
        </w:rPr>
      </w:pPr>
      <w:r w:rsidRPr="00EC65C0">
        <w:rPr>
          <w:rStyle w:val="Overskrift3Tegn"/>
        </w:rPr>
        <w:br w:type="page"/>
      </w:r>
    </w:p>
    <w:p w:rsidR="00300DB1" w:rsidRPr="00E5152E" w:rsidRDefault="004379FD" w:rsidP="00E5152E">
      <w:pPr>
        <w:pStyle w:val="Overskrift2"/>
      </w:pPr>
      <w:bookmarkStart w:id="10" w:name="_Toc387671270"/>
      <w:r w:rsidRPr="00E5152E">
        <w:rPr>
          <w:rStyle w:val="Overskrift3Tegn"/>
          <w:b/>
          <w:sz w:val="22"/>
          <w:szCs w:val="22"/>
        </w:rPr>
        <w:t>Kapitalkrav</w:t>
      </w:r>
      <w:r w:rsidR="00300DB1" w:rsidRPr="00E5152E">
        <w:rPr>
          <w:rStyle w:val="Overskrift3Tegn"/>
          <w:b/>
          <w:sz w:val="22"/>
          <w:szCs w:val="22"/>
        </w:rPr>
        <w:t xml:space="preserve"> (Pilar</w:t>
      </w:r>
      <w:r w:rsidR="00300DB1" w:rsidRPr="00E5152E">
        <w:t xml:space="preserve"> I</w:t>
      </w:r>
      <w:r w:rsidR="00895407">
        <w:t xml:space="preserve"> – regulatorisk kapital</w:t>
      </w:r>
      <w:r w:rsidR="00300DB1" w:rsidRPr="00E5152E">
        <w:t>)</w:t>
      </w:r>
      <w:bookmarkEnd w:id="10"/>
    </w:p>
    <w:p w:rsidR="004379FD" w:rsidRPr="007E390D" w:rsidRDefault="004379FD" w:rsidP="004379FD">
      <w:pPr>
        <w:rPr>
          <w:rFonts w:cs="Arial"/>
        </w:rPr>
      </w:pPr>
    </w:p>
    <w:p w:rsidR="004379FD" w:rsidRPr="007E390D" w:rsidRDefault="00A71AAF" w:rsidP="004379FD">
      <w:pPr>
        <w:jc w:val="both"/>
        <w:rPr>
          <w:rFonts w:cs="Arial"/>
        </w:rPr>
      </w:pPr>
      <w:r>
        <w:t xml:space="preserve">Basert på Kapitalkravforskriften </w:t>
      </w:r>
      <w:r w:rsidR="004379FD" w:rsidRPr="007E390D">
        <w:t xml:space="preserve">er </w:t>
      </w:r>
      <w:r>
        <w:t xml:space="preserve">beregningsgrunnlag </w:t>
      </w:r>
      <w:r w:rsidR="00895407">
        <w:t>og regulatorisk kapitalkrav</w:t>
      </w:r>
      <w:r w:rsidR="004379FD" w:rsidRPr="007E390D">
        <w:t xml:space="preserve"> for </w:t>
      </w:r>
      <w:r>
        <w:t xml:space="preserve">kreditt-, markeds- og operasjonell risiko </w:t>
      </w:r>
      <w:r w:rsidR="00895407">
        <w:t>som følger:</w:t>
      </w:r>
    </w:p>
    <w:p w:rsidR="004379FD" w:rsidRPr="00BF5ABC" w:rsidRDefault="004379FD" w:rsidP="004379FD">
      <w:pPr>
        <w:rPr>
          <w:rFonts w:cs="Arial"/>
          <w:color w:val="FF0000"/>
        </w:rPr>
      </w:pPr>
    </w:p>
    <w:p w:rsidR="004379FD" w:rsidRPr="00BF5ABC" w:rsidRDefault="004379FD" w:rsidP="004379FD">
      <w:pPr>
        <w:rPr>
          <w:rFonts w:cs="Arial"/>
          <w:color w:val="FF0000"/>
        </w:rPr>
      </w:pPr>
    </w:p>
    <w:p w:rsidR="004379FD" w:rsidRPr="007E390D" w:rsidRDefault="004379FD" w:rsidP="004379FD">
      <w:pPr>
        <w:pStyle w:val="Bildetekst"/>
      </w:pPr>
      <w:bookmarkStart w:id="11" w:name="_Toc387671302"/>
      <w:r w:rsidRPr="007E390D">
        <w:t xml:space="preserve">Tabell </w:t>
      </w:r>
      <w:r w:rsidR="00E42F82">
        <w:fldChar w:fldCharType="begin"/>
      </w:r>
      <w:r w:rsidR="00E42F82">
        <w:instrText xml:space="preserve"> SEQ Tabell \* ARABIC </w:instrText>
      </w:r>
      <w:r w:rsidR="00E42F82">
        <w:fldChar w:fldCharType="separate"/>
      </w:r>
      <w:r w:rsidR="00CB49EC">
        <w:rPr>
          <w:noProof/>
        </w:rPr>
        <w:t>4</w:t>
      </w:r>
      <w:r w:rsidR="00E42F82">
        <w:rPr>
          <w:noProof/>
        </w:rPr>
        <w:fldChar w:fldCharType="end"/>
      </w:r>
      <w:r w:rsidRPr="007E390D">
        <w:t xml:space="preserve"> </w:t>
      </w:r>
      <w:r>
        <w:t>Beregningsgrunnlag og kapital</w:t>
      </w:r>
      <w:bookmarkEnd w:id="11"/>
    </w:p>
    <w:p w:rsidR="004379FD" w:rsidRPr="00BF5ABC" w:rsidRDefault="004379FD" w:rsidP="004379FD">
      <w:pPr>
        <w:rPr>
          <w:rFonts w:cs="Arial"/>
          <w:color w:val="FF0000"/>
        </w:rPr>
      </w:pPr>
    </w:p>
    <w:tbl>
      <w:tblPr>
        <w:tblW w:w="5000" w:type="pct"/>
        <w:tblCellMar>
          <w:left w:w="70" w:type="dxa"/>
          <w:right w:w="70" w:type="dxa"/>
        </w:tblCellMar>
        <w:tblLook w:val="04A0" w:firstRow="1" w:lastRow="0" w:firstColumn="1" w:lastColumn="0" w:noHBand="0" w:noVBand="1"/>
      </w:tblPr>
      <w:tblGrid>
        <w:gridCol w:w="942"/>
        <w:gridCol w:w="1064"/>
        <w:gridCol w:w="1040"/>
        <w:gridCol w:w="1063"/>
        <w:gridCol w:w="3001"/>
        <w:gridCol w:w="1039"/>
        <w:gridCol w:w="1063"/>
      </w:tblGrid>
      <w:tr w:rsidR="0080691E" w:rsidRPr="0080691E" w:rsidTr="0080691E">
        <w:trPr>
          <w:trHeight w:val="300"/>
        </w:trPr>
        <w:tc>
          <w:tcPr>
            <w:tcW w:w="1088" w:type="pct"/>
            <w:gridSpan w:val="2"/>
            <w:tcBorders>
              <w:top w:val="nil"/>
              <w:left w:val="nil"/>
              <w:bottom w:val="nil"/>
              <w:right w:val="single" w:sz="4" w:space="0" w:color="000000"/>
            </w:tcBorders>
            <w:shd w:val="clear" w:color="000000" w:fill="D9D9D9"/>
            <w:noWrap/>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SSB Boligkreditt</w:t>
            </w:r>
          </w:p>
        </w:tc>
        <w:tc>
          <w:tcPr>
            <w:tcW w:w="1141" w:type="pct"/>
            <w:gridSpan w:val="2"/>
            <w:tcBorders>
              <w:top w:val="nil"/>
              <w:left w:val="nil"/>
              <w:bottom w:val="nil"/>
              <w:right w:val="nil"/>
            </w:tcBorders>
            <w:shd w:val="clear" w:color="000000" w:fill="D9D9D9"/>
            <w:noWrap/>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Mor</w:t>
            </w:r>
          </w:p>
        </w:tc>
        <w:tc>
          <w:tcPr>
            <w:tcW w:w="1629" w:type="pct"/>
            <w:tcBorders>
              <w:top w:val="nil"/>
              <w:left w:val="single" w:sz="4" w:space="0" w:color="auto"/>
              <w:bottom w:val="nil"/>
              <w:right w:val="single" w:sz="4" w:space="0" w:color="auto"/>
            </w:tcBorders>
            <w:shd w:val="clear" w:color="000000" w:fill="D9D9D9"/>
            <w:noWrap/>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Kapitalkrav</w:t>
            </w:r>
          </w:p>
        </w:tc>
        <w:tc>
          <w:tcPr>
            <w:tcW w:w="1141" w:type="pct"/>
            <w:gridSpan w:val="2"/>
            <w:tcBorders>
              <w:top w:val="nil"/>
              <w:left w:val="nil"/>
              <w:bottom w:val="nil"/>
              <w:right w:val="nil"/>
            </w:tcBorders>
            <w:shd w:val="clear" w:color="000000" w:fill="D9D9D9"/>
            <w:noWrap/>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Konsern</w:t>
            </w:r>
          </w:p>
        </w:tc>
      </w:tr>
      <w:tr w:rsidR="0080691E" w:rsidRPr="0080691E" w:rsidTr="0080691E">
        <w:trPr>
          <w:trHeight w:val="600"/>
        </w:trPr>
        <w:tc>
          <w:tcPr>
            <w:tcW w:w="511" w:type="pct"/>
            <w:tcBorders>
              <w:top w:val="nil"/>
              <w:left w:val="nil"/>
              <w:bottom w:val="single" w:sz="4" w:space="0" w:color="auto"/>
              <w:right w:val="nil"/>
            </w:tcBorders>
            <w:shd w:val="clear" w:color="000000" w:fill="FFFFFF"/>
            <w:vAlign w:val="bottom"/>
            <w:hideMark/>
          </w:tcPr>
          <w:p w:rsidR="0080691E" w:rsidRPr="0080691E" w:rsidRDefault="0080691E" w:rsidP="0080691E">
            <w:pP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Grunnlag</w:t>
            </w:r>
          </w:p>
        </w:tc>
        <w:tc>
          <w:tcPr>
            <w:tcW w:w="577" w:type="pct"/>
            <w:tcBorders>
              <w:top w:val="nil"/>
              <w:left w:val="nil"/>
              <w:bottom w:val="single" w:sz="4" w:space="0" w:color="auto"/>
              <w:right w:val="single" w:sz="4" w:space="0" w:color="auto"/>
            </w:tcBorders>
            <w:shd w:val="clear" w:color="000000" w:fill="FFFFFF"/>
            <w:noWrap/>
            <w:vAlign w:val="bottom"/>
            <w:hideMark/>
          </w:tcPr>
          <w:p w:rsidR="0080691E" w:rsidRPr="0080691E" w:rsidRDefault="0080691E" w:rsidP="0080691E">
            <w:pP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Kapitalkrav</w:t>
            </w:r>
          </w:p>
        </w:tc>
        <w:tc>
          <w:tcPr>
            <w:tcW w:w="564" w:type="pct"/>
            <w:tcBorders>
              <w:top w:val="nil"/>
              <w:left w:val="nil"/>
              <w:bottom w:val="single" w:sz="4" w:space="0" w:color="auto"/>
              <w:right w:val="nil"/>
            </w:tcBorders>
            <w:shd w:val="clear" w:color="000000" w:fill="FFFFFF"/>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Grunnlag</w:t>
            </w:r>
          </w:p>
        </w:tc>
        <w:tc>
          <w:tcPr>
            <w:tcW w:w="577" w:type="pct"/>
            <w:tcBorders>
              <w:top w:val="nil"/>
              <w:left w:val="nil"/>
              <w:bottom w:val="single" w:sz="4" w:space="0" w:color="auto"/>
              <w:right w:val="nil"/>
            </w:tcBorders>
            <w:shd w:val="clear" w:color="000000" w:fill="FFFFFF"/>
            <w:noWrap/>
            <w:vAlign w:val="bottom"/>
            <w:hideMark/>
          </w:tcPr>
          <w:p w:rsidR="0080691E" w:rsidRPr="0080691E" w:rsidRDefault="0080691E" w:rsidP="0080691E">
            <w:pP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Kapitalkrav</w:t>
            </w:r>
          </w:p>
        </w:tc>
        <w:tc>
          <w:tcPr>
            <w:tcW w:w="1629" w:type="pct"/>
            <w:tcBorders>
              <w:top w:val="nil"/>
              <w:left w:val="single" w:sz="4" w:space="0" w:color="auto"/>
              <w:bottom w:val="single" w:sz="4" w:space="0" w:color="auto"/>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 </w:t>
            </w:r>
          </w:p>
        </w:tc>
        <w:tc>
          <w:tcPr>
            <w:tcW w:w="564" w:type="pct"/>
            <w:tcBorders>
              <w:top w:val="nil"/>
              <w:left w:val="nil"/>
              <w:bottom w:val="single" w:sz="4" w:space="0" w:color="auto"/>
              <w:right w:val="nil"/>
            </w:tcBorders>
            <w:shd w:val="clear" w:color="000000" w:fill="FFFFFF"/>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Grunnlag</w:t>
            </w:r>
          </w:p>
        </w:tc>
        <w:tc>
          <w:tcPr>
            <w:tcW w:w="577" w:type="pct"/>
            <w:tcBorders>
              <w:top w:val="nil"/>
              <w:left w:val="nil"/>
              <w:bottom w:val="single" w:sz="4" w:space="0" w:color="auto"/>
              <w:right w:val="nil"/>
            </w:tcBorders>
            <w:shd w:val="clear" w:color="000000" w:fill="FFFFFF"/>
            <w:noWrap/>
            <w:vAlign w:val="bottom"/>
            <w:hideMark/>
          </w:tcPr>
          <w:p w:rsidR="0080691E" w:rsidRPr="0080691E" w:rsidRDefault="0080691E" w:rsidP="0080691E">
            <w:pP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Kapitalkrav</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Stater og sentralbanker</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r>
      <w:tr w:rsidR="0080691E" w:rsidRPr="0080691E" w:rsidTr="0080691E">
        <w:trPr>
          <w:trHeight w:val="6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2.016</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161</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Pr>
                <w:rFonts w:ascii="Calibri" w:eastAsia="Times New Roman" w:hAnsi="Calibri" w:cs="Times New Roman"/>
                <w:color w:val="000000"/>
                <w:szCs w:val="18"/>
                <w:lang w:eastAsia="nb-NO"/>
              </w:rPr>
              <w:t>Lokale og regionale</w:t>
            </w:r>
            <w:r w:rsidRPr="0080691E">
              <w:rPr>
                <w:rFonts w:ascii="Calibri" w:eastAsia="Times New Roman" w:hAnsi="Calibri" w:cs="Times New Roman"/>
                <w:color w:val="000000"/>
                <w:szCs w:val="18"/>
                <w:lang w:eastAsia="nb-NO"/>
              </w:rPr>
              <w:t xml:space="preserve"> myndigheter (inkludert kommuner)</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2.016</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161</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Offentlig eide foretak</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Multilaterale utviklingsbanker</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Internasjonale organisasjoner</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29.065</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2325,2</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1.185.180</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94.814</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Institusjoner</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733.383</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58.671</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12</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6.252.853</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500.228</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Foretak</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6.252.865</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500.229</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1.157.510</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92.601</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Massemarkedsengasjementer</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1.157.510</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92.601</w:t>
            </w:r>
          </w:p>
        </w:tc>
      </w:tr>
      <w:tr w:rsidR="0080691E" w:rsidRPr="0080691E" w:rsidTr="0080691E">
        <w:trPr>
          <w:trHeight w:val="6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2.527.249</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202.180</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3.649.139</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291.931</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Engasjementer med pantesikkerhet i eiendom</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6.176.388</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494.111</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657.101</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52.568</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Forfalte engasjementer</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657.101</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52.568</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3.518</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281</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Høyrisiko-engasjementer</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3.518</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281</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24.271</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1.942</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224.477</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17.958</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Obligasjoner med fortrinnsrett</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213.746</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17.100</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277.592</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22.207</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Andeler i verdipapirfond</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277.592</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22.207</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53.765</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4.301</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780.660</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62.453</w:t>
            </w:r>
          </w:p>
        </w:tc>
        <w:tc>
          <w:tcPr>
            <w:tcW w:w="1629" w:type="pct"/>
            <w:tcBorders>
              <w:top w:val="nil"/>
              <w:left w:val="single" w:sz="4" w:space="0" w:color="auto"/>
              <w:bottom w:val="nil"/>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Øvrige engasjementer</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484.295</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38.744</w:t>
            </w:r>
          </w:p>
        </w:tc>
      </w:tr>
      <w:tr w:rsidR="0080691E" w:rsidRPr="0080691E" w:rsidTr="0080691E">
        <w:trPr>
          <w:trHeight w:val="300"/>
        </w:trPr>
        <w:tc>
          <w:tcPr>
            <w:tcW w:w="511"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2.634.362</w:t>
            </w:r>
          </w:p>
        </w:tc>
        <w:tc>
          <w:tcPr>
            <w:tcW w:w="577" w:type="pct"/>
            <w:tcBorders>
              <w:top w:val="single" w:sz="4" w:space="0" w:color="auto"/>
              <w:left w:val="nil"/>
              <w:bottom w:val="single" w:sz="4" w:space="0" w:color="auto"/>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210.749</w:t>
            </w:r>
          </w:p>
        </w:tc>
        <w:tc>
          <w:tcPr>
            <w:tcW w:w="564"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14.190.046</w:t>
            </w:r>
          </w:p>
        </w:tc>
        <w:tc>
          <w:tcPr>
            <w:tcW w:w="577"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1.135.204</w:t>
            </w:r>
          </w:p>
        </w:tc>
        <w:tc>
          <w:tcPr>
            <w:tcW w:w="16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Sum kredittrisiko</w:t>
            </w:r>
          </w:p>
        </w:tc>
        <w:tc>
          <w:tcPr>
            <w:tcW w:w="564"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15.958.414</w:t>
            </w:r>
          </w:p>
        </w:tc>
        <w:tc>
          <w:tcPr>
            <w:tcW w:w="577"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1.276.673</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629" w:type="pct"/>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r>
      <w:tr w:rsidR="0080691E" w:rsidRPr="0080691E" w:rsidTr="0080691E">
        <w:trPr>
          <w:trHeight w:val="300"/>
        </w:trPr>
        <w:tc>
          <w:tcPr>
            <w:tcW w:w="511"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77" w:type="pct"/>
            <w:tcBorders>
              <w:top w:val="single" w:sz="4" w:space="0" w:color="auto"/>
              <w:left w:val="nil"/>
              <w:bottom w:val="single" w:sz="4" w:space="0" w:color="auto"/>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0</w:t>
            </w:r>
          </w:p>
        </w:tc>
        <w:tc>
          <w:tcPr>
            <w:tcW w:w="564"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97.763</w:t>
            </w:r>
          </w:p>
        </w:tc>
        <w:tc>
          <w:tcPr>
            <w:tcW w:w="577"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7.821</w:t>
            </w:r>
          </w:p>
        </w:tc>
        <w:tc>
          <w:tcPr>
            <w:tcW w:w="16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Valutarisiko</w:t>
            </w:r>
          </w:p>
        </w:tc>
        <w:tc>
          <w:tcPr>
            <w:tcW w:w="564"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97.763</w:t>
            </w:r>
          </w:p>
        </w:tc>
        <w:tc>
          <w:tcPr>
            <w:tcW w:w="577"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7.821</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77" w:type="pct"/>
            <w:tcBorders>
              <w:top w:val="nil"/>
              <w:left w:val="nil"/>
              <w:bottom w:val="nil"/>
              <w:right w:val="single" w:sz="4" w:space="0" w:color="auto"/>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629" w:type="pct"/>
            <w:tcBorders>
              <w:top w:val="nil"/>
              <w:left w:val="single" w:sz="4" w:space="0" w:color="auto"/>
              <w:bottom w:val="nil"/>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r>
      <w:tr w:rsidR="0080691E" w:rsidRPr="0080691E" w:rsidTr="0080691E">
        <w:trPr>
          <w:trHeight w:val="300"/>
        </w:trPr>
        <w:tc>
          <w:tcPr>
            <w:tcW w:w="511"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111.739</w:t>
            </w:r>
          </w:p>
        </w:tc>
        <w:tc>
          <w:tcPr>
            <w:tcW w:w="577" w:type="pct"/>
            <w:tcBorders>
              <w:top w:val="single" w:sz="4" w:space="0" w:color="auto"/>
              <w:left w:val="nil"/>
              <w:bottom w:val="single" w:sz="4" w:space="0" w:color="auto"/>
              <w:right w:val="single" w:sz="4" w:space="0" w:color="auto"/>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8.939</w:t>
            </w:r>
          </w:p>
        </w:tc>
        <w:tc>
          <w:tcPr>
            <w:tcW w:w="564"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811.953</w:t>
            </w:r>
          </w:p>
        </w:tc>
        <w:tc>
          <w:tcPr>
            <w:tcW w:w="577"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64.956</w:t>
            </w:r>
          </w:p>
        </w:tc>
        <w:tc>
          <w:tcPr>
            <w:tcW w:w="162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Operasjonell risiko - basis metoden</w:t>
            </w:r>
          </w:p>
        </w:tc>
        <w:tc>
          <w:tcPr>
            <w:tcW w:w="564"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923.692</w:t>
            </w:r>
          </w:p>
        </w:tc>
        <w:tc>
          <w:tcPr>
            <w:tcW w:w="577" w:type="pct"/>
            <w:tcBorders>
              <w:top w:val="single" w:sz="4" w:space="0" w:color="auto"/>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73.895</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629" w:type="pct"/>
            <w:tcBorders>
              <w:top w:val="nil"/>
              <w:left w:val="nil"/>
              <w:bottom w:val="nil"/>
              <w:right w:val="nil"/>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r>
      <w:tr w:rsidR="0080691E" w:rsidRPr="0080691E" w:rsidTr="0080691E">
        <w:trPr>
          <w:trHeight w:val="3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1629" w:type="pct"/>
            <w:tcBorders>
              <w:top w:val="nil"/>
              <w:left w:val="nil"/>
              <w:bottom w:val="nil"/>
              <w:right w:val="nil"/>
            </w:tcBorders>
            <w:shd w:val="clear" w:color="000000" w:fill="FFFFFF"/>
            <w:noWrap/>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Fradrag i kapitalkravet</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w:t>
            </w:r>
          </w:p>
        </w:tc>
      </w:tr>
      <w:tr w:rsidR="0080691E" w:rsidRPr="0080691E" w:rsidTr="0080691E">
        <w:trPr>
          <w:trHeight w:val="600"/>
        </w:trPr>
        <w:tc>
          <w:tcPr>
            <w:tcW w:w="511"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-3.460</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-277</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-63.467</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-5.077</w:t>
            </w:r>
          </w:p>
        </w:tc>
        <w:tc>
          <w:tcPr>
            <w:tcW w:w="1629" w:type="pct"/>
            <w:tcBorders>
              <w:top w:val="nil"/>
              <w:left w:val="nil"/>
              <w:bottom w:val="nil"/>
              <w:right w:val="nil"/>
            </w:tcBorders>
            <w:shd w:val="clear" w:color="000000" w:fill="FFFFFF"/>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 xml:space="preserve">Nedskriving på grunner av </w:t>
            </w:r>
            <w:proofErr w:type="spellStart"/>
            <w:r w:rsidRPr="0080691E">
              <w:rPr>
                <w:rFonts w:ascii="Calibri" w:eastAsia="Times New Roman" w:hAnsi="Calibri" w:cs="Times New Roman"/>
                <w:color w:val="000000"/>
                <w:szCs w:val="18"/>
                <w:lang w:eastAsia="nb-NO"/>
              </w:rPr>
              <w:t>utlå</w:t>
            </w:r>
            <w:proofErr w:type="spellEnd"/>
            <w:r w:rsidRPr="0080691E">
              <w:rPr>
                <w:rFonts w:ascii="Calibri" w:eastAsia="Times New Roman" w:hAnsi="Calibri" w:cs="Times New Roman"/>
                <w:color w:val="000000"/>
                <w:szCs w:val="18"/>
                <w:lang w:eastAsia="nb-NO"/>
              </w:rPr>
              <w:t xml:space="preserve"> og avsetninger for garantiforpliktelser</w:t>
            </w:r>
          </w:p>
        </w:tc>
        <w:tc>
          <w:tcPr>
            <w:tcW w:w="564"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-66.927</w:t>
            </w:r>
          </w:p>
        </w:tc>
        <w:tc>
          <w:tcPr>
            <w:tcW w:w="577" w:type="pct"/>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-5.354</w:t>
            </w:r>
          </w:p>
        </w:tc>
      </w:tr>
      <w:tr w:rsidR="0080691E" w:rsidRPr="0080691E" w:rsidTr="0080691E">
        <w:trPr>
          <w:trHeight w:val="315"/>
        </w:trPr>
        <w:tc>
          <w:tcPr>
            <w:tcW w:w="511" w:type="pct"/>
            <w:tcBorders>
              <w:top w:val="single" w:sz="4" w:space="0" w:color="auto"/>
              <w:left w:val="nil"/>
              <w:bottom w:val="single" w:sz="8"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2.742.641</w:t>
            </w:r>
          </w:p>
        </w:tc>
        <w:tc>
          <w:tcPr>
            <w:tcW w:w="577" w:type="pct"/>
            <w:tcBorders>
              <w:top w:val="single" w:sz="4" w:space="0" w:color="auto"/>
              <w:left w:val="nil"/>
              <w:bottom w:val="single" w:sz="8"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219.411</w:t>
            </w:r>
          </w:p>
        </w:tc>
        <w:tc>
          <w:tcPr>
            <w:tcW w:w="564" w:type="pct"/>
            <w:tcBorders>
              <w:top w:val="single" w:sz="4" w:space="0" w:color="auto"/>
              <w:left w:val="nil"/>
              <w:bottom w:val="single" w:sz="8"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15.036.295</w:t>
            </w:r>
          </w:p>
        </w:tc>
        <w:tc>
          <w:tcPr>
            <w:tcW w:w="577" w:type="pct"/>
            <w:tcBorders>
              <w:top w:val="single" w:sz="4" w:space="0" w:color="auto"/>
              <w:left w:val="nil"/>
              <w:bottom w:val="single" w:sz="8"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1.202.904</w:t>
            </w:r>
          </w:p>
        </w:tc>
        <w:tc>
          <w:tcPr>
            <w:tcW w:w="1629" w:type="pct"/>
            <w:tcBorders>
              <w:top w:val="single" w:sz="4" w:space="0" w:color="auto"/>
              <w:left w:val="nil"/>
              <w:bottom w:val="single" w:sz="8" w:space="0" w:color="auto"/>
              <w:right w:val="nil"/>
            </w:tcBorders>
            <w:shd w:val="clear" w:color="000000" w:fill="FFFFFF"/>
            <w:noWrap/>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Sum</w:t>
            </w:r>
          </w:p>
        </w:tc>
        <w:tc>
          <w:tcPr>
            <w:tcW w:w="564" w:type="pct"/>
            <w:tcBorders>
              <w:top w:val="single" w:sz="4" w:space="0" w:color="auto"/>
              <w:left w:val="nil"/>
              <w:bottom w:val="single" w:sz="8"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16.912.942</w:t>
            </w:r>
          </w:p>
        </w:tc>
        <w:tc>
          <w:tcPr>
            <w:tcW w:w="577" w:type="pct"/>
            <w:tcBorders>
              <w:top w:val="single" w:sz="4" w:space="0" w:color="auto"/>
              <w:left w:val="nil"/>
              <w:bottom w:val="single" w:sz="8"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1.353.035</w:t>
            </w:r>
          </w:p>
        </w:tc>
      </w:tr>
    </w:tbl>
    <w:p w:rsidR="00A71AAF" w:rsidRPr="00BF5ABC" w:rsidRDefault="00A71AAF" w:rsidP="004379FD">
      <w:pPr>
        <w:rPr>
          <w:rFonts w:cs="Arial"/>
          <w:color w:val="FF0000"/>
        </w:rPr>
      </w:pPr>
    </w:p>
    <w:p w:rsidR="004379FD" w:rsidRDefault="0045492B" w:rsidP="008450D0">
      <w:pPr>
        <w:pStyle w:val="Overskrift4"/>
      </w:pPr>
      <w:r>
        <w:t>Kredittrisiko</w:t>
      </w:r>
    </w:p>
    <w:p w:rsidR="00AC150C" w:rsidRDefault="003D73D7" w:rsidP="004379FD">
      <w:pPr>
        <w:rPr>
          <w:rFonts w:cs="Arial"/>
        </w:rPr>
      </w:pPr>
      <w:r w:rsidRPr="007C725D">
        <w:rPr>
          <w:rFonts w:cs="Arial"/>
        </w:rPr>
        <w:t xml:space="preserve">Sandnes Sparebank bruker standardmetoden for beregning av </w:t>
      </w:r>
      <w:r w:rsidR="00895407">
        <w:rPr>
          <w:rFonts w:cs="Arial"/>
        </w:rPr>
        <w:t xml:space="preserve">regulatorisk </w:t>
      </w:r>
      <w:r w:rsidRPr="007C725D">
        <w:rPr>
          <w:rFonts w:cs="Arial"/>
        </w:rPr>
        <w:t>kapital</w:t>
      </w:r>
      <w:r w:rsidR="00895407">
        <w:rPr>
          <w:rFonts w:cs="Arial"/>
        </w:rPr>
        <w:t xml:space="preserve"> for kredittrisiko</w:t>
      </w:r>
      <w:r w:rsidRPr="007C725D">
        <w:rPr>
          <w:rFonts w:cs="Arial"/>
        </w:rPr>
        <w:t xml:space="preserve">.  Nedskriving for tap foretas når det foreligger </w:t>
      </w:r>
      <w:r w:rsidRPr="007C725D">
        <w:rPr>
          <w:rFonts w:cs="Arial"/>
          <w:b/>
        </w:rPr>
        <w:t>objektive indikasjoner</w:t>
      </w:r>
      <w:r w:rsidRPr="007C725D">
        <w:rPr>
          <w:rFonts w:cs="Arial"/>
        </w:rPr>
        <w:t xml:space="preserve"> for at et utlån har verdifall som følge av svekket kredittverdighet. En nedskriving blir reversert når tapet er redusert og objektivt kan knyttes til en hendelse inntruffet etter nedskrivingstidspunktet.</w:t>
      </w:r>
    </w:p>
    <w:p w:rsidR="00AC150C" w:rsidRDefault="00AC150C" w:rsidP="004379FD">
      <w:pPr>
        <w:rPr>
          <w:rFonts w:cs="Arial"/>
        </w:rPr>
      </w:pPr>
    </w:p>
    <w:p w:rsidR="004379FD" w:rsidRPr="007C725D" w:rsidRDefault="003D73D7" w:rsidP="004379FD">
      <w:pPr>
        <w:rPr>
          <w:rFonts w:cs="Arial"/>
        </w:rPr>
      </w:pPr>
      <w:r w:rsidRPr="007C725D">
        <w:rPr>
          <w:rFonts w:cs="Arial"/>
        </w:rPr>
        <w:t>Alle utlån som ansees som vesentlige blir vurdert individuelt for å se om det foreligger objektive bevis for verdifall</w:t>
      </w:r>
      <w:r w:rsidR="00CF7474" w:rsidRPr="007C725D">
        <w:rPr>
          <w:rFonts w:cs="Arial"/>
        </w:rPr>
        <w:t>. Det er ingen utfyllende lister over eksempler på objektive hendelser, men i all hovedsak dreier dette seg om kundespesifikke eller markedsrelaterte hendelser s</w:t>
      </w:r>
      <w:r w:rsidR="00895407">
        <w:rPr>
          <w:rFonts w:cs="Arial"/>
        </w:rPr>
        <w:t>om har vesentlig innvirkning på</w:t>
      </w:r>
      <w:r w:rsidR="00CF7474" w:rsidRPr="007C725D">
        <w:rPr>
          <w:rFonts w:cs="Arial"/>
        </w:rPr>
        <w:t xml:space="preserve"> kundens finansielle situasjon og fremtidig inntjening. </w:t>
      </w:r>
    </w:p>
    <w:p w:rsidR="00CF7474" w:rsidRPr="007C725D" w:rsidRDefault="00CF7474" w:rsidP="004379FD">
      <w:pPr>
        <w:rPr>
          <w:rFonts w:cs="Arial"/>
        </w:rPr>
      </w:pPr>
    </w:p>
    <w:p w:rsidR="00CF7474" w:rsidRPr="007C725D" w:rsidRDefault="00CF7474" w:rsidP="004379FD">
      <w:pPr>
        <w:rPr>
          <w:rFonts w:cs="Arial"/>
        </w:rPr>
      </w:pPr>
      <w:r w:rsidRPr="007C725D">
        <w:rPr>
          <w:rFonts w:cs="Arial"/>
        </w:rPr>
        <w:t>Enkeltutlån vurderes for nedskriving dersom det foreligger objektive bevis for:</w:t>
      </w:r>
    </w:p>
    <w:p w:rsidR="00CF7474" w:rsidRPr="007C725D" w:rsidRDefault="00CF7474" w:rsidP="004379FD">
      <w:pPr>
        <w:rPr>
          <w:rFonts w:cs="Arial"/>
        </w:rPr>
      </w:pPr>
    </w:p>
    <w:p w:rsidR="00CF7474" w:rsidRPr="007C725D" w:rsidRDefault="00CF7474" w:rsidP="00CF7474">
      <w:pPr>
        <w:pStyle w:val="Listeavsnitt"/>
        <w:numPr>
          <w:ilvl w:val="0"/>
          <w:numId w:val="38"/>
        </w:numPr>
        <w:rPr>
          <w:rFonts w:cs="Arial"/>
        </w:rPr>
      </w:pPr>
      <w:r w:rsidRPr="007C725D">
        <w:rPr>
          <w:rFonts w:cs="Arial"/>
        </w:rPr>
        <w:t>Vesentlige finansielle problemer hos debitor</w:t>
      </w:r>
    </w:p>
    <w:p w:rsidR="00CF7474" w:rsidRPr="007C725D" w:rsidRDefault="00EA3632" w:rsidP="00CF7474">
      <w:pPr>
        <w:pStyle w:val="Listeavsnitt"/>
        <w:numPr>
          <w:ilvl w:val="0"/>
          <w:numId w:val="38"/>
        </w:numPr>
        <w:rPr>
          <w:rFonts w:cs="Arial"/>
        </w:rPr>
      </w:pPr>
      <w:r w:rsidRPr="007C725D">
        <w:rPr>
          <w:rFonts w:cs="Arial"/>
        </w:rPr>
        <w:t>Betalingsmislighold eller andre vesentlige kontraktsbrudd</w:t>
      </w:r>
    </w:p>
    <w:p w:rsidR="00EA3632" w:rsidRPr="007C725D" w:rsidRDefault="00EA3632" w:rsidP="00CF7474">
      <w:pPr>
        <w:pStyle w:val="Listeavsnitt"/>
        <w:numPr>
          <w:ilvl w:val="0"/>
          <w:numId w:val="38"/>
        </w:numPr>
        <w:rPr>
          <w:rFonts w:cs="Arial"/>
        </w:rPr>
      </w:pPr>
      <w:r w:rsidRPr="007C725D">
        <w:rPr>
          <w:rFonts w:cs="Arial"/>
        </w:rPr>
        <w:t>Innvilget utsettelser av betaling eller ny kreditt til betaling av termin, avtale, endringer i rentesats eller i andre avtalevilkår som følge av finansielle problemer hos debitor</w:t>
      </w:r>
    </w:p>
    <w:p w:rsidR="00EA3632" w:rsidRPr="007C725D" w:rsidRDefault="00EA3632" w:rsidP="00CF7474">
      <w:pPr>
        <w:pStyle w:val="Listeavsnitt"/>
        <w:numPr>
          <w:ilvl w:val="0"/>
          <w:numId w:val="38"/>
        </w:numPr>
        <w:rPr>
          <w:rFonts w:cs="Arial"/>
        </w:rPr>
      </w:pPr>
      <w:r w:rsidRPr="007C725D">
        <w:rPr>
          <w:rFonts w:cs="Arial"/>
        </w:rPr>
        <w:t xml:space="preserve">Det anses som sannsynlig at debitor vil inngå gjeldsforhandlinger, annen finansiell restrukturering eller at debitors bo blir tatt under konkursbehandling. </w:t>
      </w:r>
    </w:p>
    <w:p w:rsidR="00EA3632" w:rsidRPr="007C725D" w:rsidRDefault="00EA3632" w:rsidP="00EA3632">
      <w:pPr>
        <w:rPr>
          <w:rFonts w:cs="Arial"/>
        </w:rPr>
      </w:pPr>
    </w:p>
    <w:p w:rsidR="004379FD" w:rsidRDefault="00EA3632" w:rsidP="00895407">
      <w:pPr>
        <w:rPr>
          <w:rFonts w:cs="Arial"/>
        </w:rPr>
      </w:pPr>
      <w:r w:rsidRPr="007C725D">
        <w:rPr>
          <w:rFonts w:cs="Arial"/>
        </w:rPr>
        <w:t>Det avgjørende for hvorvidt det skal foretas nedskriving er hvorvidt tapshendelsen medfører at banken på måletidspunktet vurderer utlånets fremtidige kontantstrøm som lavere enn ved forrige måling.</w:t>
      </w:r>
    </w:p>
    <w:p w:rsidR="00E5152E" w:rsidRPr="00AC150C" w:rsidRDefault="00E5152E" w:rsidP="00895407">
      <w:pPr>
        <w:rPr>
          <w:rFonts w:cs="Arial"/>
        </w:rPr>
      </w:pPr>
    </w:p>
    <w:p w:rsidR="00105947" w:rsidRDefault="0045492B" w:rsidP="00895407">
      <w:pPr>
        <w:pStyle w:val="Overskrift4"/>
      </w:pPr>
      <w:r>
        <w:t>Markedsrisiko</w:t>
      </w:r>
    </w:p>
    <w:p w:rsidR="00AC150C" w:rsidRDefault="00105947" w:rsidP="00895407">
      <w:pPr>
        <w:spacing w:after="200"/>
        <w:rPr>
          <w:szCs w:val="18"/>
        </w:rPr>
      </w:pPr>
      <w:r w:rsidRPr="007C725D">
        <w:rPr>
          <w:szCs w:val="18"/>
        </w:rPr>
        <w:t xml:space="preserve">Utover valutarisiko har Sandnes Sparebank ikke posisjoner ved utgangen av 2013 som innebærer </w:t>
      </w:r>
      <w:r w:rsidR="00B21C30" w:rsidRPr="007C725D">
        <w:rPr>
          <w:szCs w:val="18"/>
        </w:rPr>
        <w:t>at det beregnes regulatorisk kapital under pilar I. Bankens valutaeksponering er nesten i sin helhet knyttet bankens eksponering mot CHF.</w:t>
      </w:r>
      <w:r w:rsidR="00895407">
        <w:rPr>
          <w:szCs w:val="18"/>
        </w:rPr>
        <w:t xml:space="preserve"> </w:t>
      </w:r>
    </w:p>
    <w:p w:rsidR="00E5152E" w:rsidRPr="00AC150C" w:rsidRDefault="00E5152E" w:rsidP="00895407">
      <w:pPr>
        <w:spacing w:after="200"/>
        <w:rPr>
          <w:szCs w:val="18"/>
        </w:rPr>
      </w:pPr>
    </w:p>
    <w:p w:rsidR="00B21C30" w:rsidRDefault="00B21C30" w:rsidP="00895407">
      <w:pPr>
        <w:pStyle w:val="Overskrift4"/>
      </w:pPr>
      <w:r>
        <w:t>Operasjonell risiko</w:t>
      </w:r>
    </w:p>
    <w:p w:rsidR="004379FD" w:rsidRDefault="001F1631" w:rsidP="00895407">
      <w:pPr>
        <w:spacing w:after="200"/>
        <w:rPr>
          <w:szCs w:val="18"/>
        </w:rPr>
      </w:pPr>
      <w:r w:rsidRPr="007C725D">
        <w:rPr>
          <w:szCs w:val="18"/>
        </w:rPr>
        <w:t xml:space="preserve">Sandnes Sparebank benytter basismetoden ved beregning av kapitalkrav for operasjonell risiko. Dette betyr at beregningsgrunnlaget består av gjennomsnittlig inntekt siste 3 år multiplisert med 12,5.  Kapitalkravet utgjør 15 % av dette beregningsgrunnlaget. Det er konsernets samlede inntekter som benyttes ved beregning av kapitalbehovet. </w:t>
      </w:r>
      <w:r w:rsidR="0080691E">
        <w:rPr>
          <w:szCs w:val="18"/>
        </w:rPr>
        <w:t>Konsernets totale inntekter defineres ut fra Kapitalkravforskriften §42-1.</w:t>
      </w:r>
    </w:p>
    <w:p w:rsidR="00E5152E" w:rsidRPr="00E5152E" w:rsidRDefault="00E5152E" w:rsidP="004379FD">
      <w:pPr>
        <w:spacing w:after="200" w:line="276" w:lineRule="auto"/>
        <w:rPr>
          <w:szCs w:val="18"/>
        </w:rPr>
      </w:pPr>
    </w:p>
    <w:p w:rsidR="004379FD" w:rsidRPr="007E390D" w:rsidRDefault="004379FD" w:rsidP="00300DB1">
      <w:pPr>
        <w:pStyle w:val="Overskrift3"/>
      </w:pPr>
      <w:bookmarkStart w:id="12" w:name="_Ref387654147"/>
      <w:bookmarkStart w:id="13" w:name="_Ref387654149"/>
      <w:bookmarkStart w:id="14" w:name="_Ref387654151"/>
      <w:bookmarkStart w:id="15" w:name="_Toc387671271"/>
      <w:r w:rsidRPr="007E390D">
        <w:t>Kapitaldekning</w:t>
      </w:r>
      <w:bookmarkEnd w:id="12"/>
      <w:bookmarkEnd w:id="13"/>
      <w:bookmarkEnd w:id="14"/>
      <w:bookmarkEnd w:id="15"/>
    </w:p>
    <w:p w:rsidR="004379FD" w:rsidRPr="007E390D" w:rsidRDefault="004379FD" w:rsidP="004379FD">
      <w:pPr>
        <w:rPr>
          <w:rFonts w:cs="Arial"/>
        </w:rPr>
      </w:pPr>
    </w:p>
    <w:p w:rsidR="004379FD" w:rsidRPr="007E390D" w:rsidRDefault="00AC150C" w:rsidP="004379FD">
      <w:pPr>
        <w:rPr>
          <w:rFonts w:cs="Arial"/>
        </w:rPr>
      </w:pPr>
      <w:r>
        <w:rPr>
          <w:rFonts w:cs="Arial"/>
        </w:rPr>
        <w:t>Ved utgangen av 2013 var</w:t>
      </w:r>
      <w:r w:rsidR="00895407">
        <w:rPr>
          <w:rFonts w:cs="Arial"/>
        </w:rPr>
        <w:t xml:space="preserve"> konsernets kapitaldekning som </w:t>
      </w:r>
      <w:r>
        <w:rPr>
          <w:rFonts w:cs="Arial"/>
        </w:rPr>
        <w:t>følger:</w:t>
      </w:r>
    </w:p>
    <w:p w:rsidR="004379FD" w:rsidRPr="007E390D" w:rsidRDefault="004379FD" w:rsidP="004379FD">
      <w:pPr>
        <w:rPr>
          <w:rFonts w:cs="Arial"/>
        </w:rPr>
      </w:pPr>
    </w:p>
    <w:p w:rsidR="004379FD" w:rsidRPr="007E390D" w:rsidRDefault="004379FD" w:rsidP="004379FD">
      <w:pPr>
        <w:rPr>
          <w:rFonts w:cs="Arial"/>
        </w:rPr>
      </w:pPr>
    </w:p>
    <w:p w:rsidR="004379FD" w:rsidRPr="007E390D" w:rsidRDefault="004379FD" w:rsidP="004379FD">
      <w:pPr>
        <w:pStyle w:val="Bildetekst"/>
      </w:pPr>
      <w:bookmarkStart w:id="16" w:name="_Toc387671303"/>
      <w:r w:rsidRPr="007E390D">
        <w:t xml:space="preserve">Tabell </w:t>
      </w:r>
      <w:r w:rsidR="00E42F82">
        <w:fldChar w:fldCharType="begin"/>
      </w:r>
      <w:r w:rsidR="00E42F82">
        <w:instrText xml:space="preserve"> SEQ Tabell \* ARABIC </w:instrText>
      </w:r>
      <w:r w:rsidR="00E42F82">
        <w:fldChar w:fldCharType="separate"/>
      </w:r>
      <w:r w:rsidR="00CB49EC">
        <w:rPr>
          <w:noProof/>
        </w:rPr>
        <w:t>5</w:t>
      </w:r>
      <w:r w:rsidR="00E42F82">
        <w:rPr>
          <w:noProof/>
        </w:rPr>
        <w:fldChar w:fldCharType="end"/>
      </w:r>
      <w:r w:rsidRPr="007E390D">
        <w:t xml:space="preserve"> Kapitaldekning</w:t>
      </w:r>
      <w:bookmarkEnd w:id="16"/>
    </w:p>
    <w:p w:rsidR="004379FD" w:rsidRPr="00BF5ABC" w:rsidRDefault="004379FD" w:rsidP="004379FD">
      <w:pPr>
        <w:rPr>
          <w:rFonts w:cs="Arial"/>
          <w:color w:val="FF0000"/>
        </w:rPr>
      </w:pPr>
    </w:p>
    <w:tbl>
      <w:tblPr>
        <w:tblW w:w="7584" w:type="dxa"/>
        <w:tblInd w:w="70" w:type="dxa"/>
        <w:tblCellMar>
          <w:left w:w="70" w:type="dxa"/>
          <w:right w:w="70" w:type="dxa"/>
        </w:tblCellMar>
        <w:tblLook w:val="04A0" w:firstRow="1" w:lastRow="0" w:firstColumn="1" w:lastColumn="0" w:noHBand="0" w:noVBand="1"/>
      </w:tblPr>
      <w:tblGrid>
        <w:gridCol w:w="1596"/>
        <w:gridCol w:w="1156"/>
        <w:gridCol w:w="3596"/>
        <w:gridCol w:w="1236"/>
      </w:tblGrid>
      <w:tr w:rsidR="0080691E" w:rsidRPr="0080691E" w:rsidTr="0080691E">
        <w:trPr>
          <w:trHeight w:val="300"/>
        </w:trPr>
        <w:tc>
          <w:tcPr>
            <w:tcW w:w="1596" w:type="dxa"/>
            <w:tcBorders>
              <w:top w:val="nil"/>
              <w:left w:val="nil"/>
              <w:bottom w:val="nil"/>
              <w:right w:val="nil"/>
            </w:tcBorders>
            <w:shd w:val="clear" w:color="000000" w:fill="D9D9D9"/>
            <w:noWrap/>
            <w:vAlign w:val="bottom"/>
            <w:hideMark/>
          </w:tcPr>
          <w:p w:rsidR="0080691E" w:rsidRPr="0080691E" w:rsidRDefault="0080691E" w:rsidP="0080691E">
            <w:pPr>
              <w:rPr>
                <w:rFonts w:ascii="Calibri" w:eastAsia="Times New Roman" w:hAnsi="Calibri" w:cs="Times New Roman"/>
                <w:b/>
                <w:bCs/>
                <w:szCs w:val="18"/>
                <w:lang w:eastAsia="nb-NO"/>
              </w:rPr>
            </w:pPr>
            <w:r w:rsidRPr="0080691E">
              <w:rPr>
                <w:rFonts w:ascii="Calibri" w:eastAsia="Times New Roman" w:hAnsi="Calibri" w:cs="Times New Roman"/>
                <w:b/>
                <w:bCs/>
                <w:szCs w:val="18"/>
                <w:lang w:eastAsia="nb-NO"/>
              </w:rPr>
              <w:t>SSB Boligkreditt</w:t>
            </w:r>
          </w:p>
        </w:tc>
        <w:tc>
          <w:tcPr>
            <w:tcW w:w="1156" w:type="dxa"/>
            <w:tcBorders>
              <w:top w:val="nil"/>
              <w:left w:val="nil"/>
              <w:bottom w:val="nil"/>
              <w:right w:val="nil"/>
            </w:tcBorders>
            <w:shd w:val="clear" w:color="000000" w:fill="D9D9D9"/>
            <w:noWrap/>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Mor</w:t>
            </w:r>
          </w:p>
        </w:tc>
        <w:tc>
          <w:tcPr>
            <w:tcW w:w="3596" w:type="dxa"/>
            <w:tcBorders>
              <w:top w:val="nil"/>
              <w:left w:val="nil"/>
              <w:bottom w:val="nil"/>
              <w:right w:val="nil"/>
            </w:tcBorders>
            <w:shd w:val="clear" w:color="000000" w:fill="D9D9D9"/>
            <w:noWrap/>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 </w:t>
            </w:r>
          </w:p>
        </w:tc>
        <w:tc>
          <w:tcPr>
            <w:tcW w:w="1236" w:type="dxa"/>
            <w:tcBorders>
              <w:top w:val="nil"/>
              <w:left w:val="nil"/>
              <w:bottom w:val="nil"/>
              <w:right w:val="nil"/>
            </w:tcBorders>
            <w:shd w:val="clear" w:color="000000" w:fill="D9D9D9"/>
            <w:noWrap/>
            <w:vAlign w:val="bottom"/>
            <w:hideMark/>
          </w:tcPr>
          <w:p w:rsidR="0080691E" w:rsidRPr="0080691E" w:rsidRDefault="0080691E" w:rsidP="0080691E">
            <w:pPr>
              <w:jc w:val="center"/>
              <w:rPr>
                <w:rFonts w:ascii="Calibri" w:eastAsia="Times New Roman" w:hAnsi="Calibri" w:cs="Times New Roman"/>
                <w:b/>
                <w:bCs/>
                <w:color w:val="000000"/>
                <w:szCs w:val="18"/>
                <w:lang w:eastAsia="nb-NO"/>
              </w:rPr>
            </w:pPr>
            <w:r w:rsidRPr="0080691E">
              <w:rPr>
                <w:rFonts w:ascii="Calibri" w:eastAsia="Times New Roman" w:hAnsi="Calibri" w:cs="Times New Roman"/>
                <w:b/>
                <w:bCs/>
                <w:color w:val="000000"/>
                <w:szCs w:val="18"/>
                <w:lang w:eastAsia="nb-NO"/>
              </w:rPr>
              <w:t>Konsern</w:t>
            </w:r>
          </w:p>
        </w:tc>
      </w:tr>
      <w:tr w:rsidR="0080691E" w:rsidRPr="0080691E" w:rsidTr="0080691E">
        <w:trPr>
          <w:trHeight w:val="300"/>
        </w:trPr>
        <w:tc>
          <w:tcPr>
            <w:tcW w:w="1596" w:type="dxa"/>
            <w:tcBorders>
              <w:top w:val="nil"/>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2.742.641</w:t>
            </w:r>
          </w:p>
        </w:tc>
        <w:tc>
          <w:tcPr>
            <w:tcW w:w="1156" w:type="dxa"/>
            <w:tcBorders>
              <w:top w:val="nil"/>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15.036.295</w:t>
            </w:r>
          </w:p>
        </w:tc>
        <w:tc>
          <w:tcPr>
            <w:tcW w:w="3596" w:type="dxa"/>
            <w:tcBorders>
              <w:top w:val="nil"/>
              <w:left w:val="nil"/>
              <w:bottom w:val="single" w:sz="4" w:space="0" w:color="auto"/>
              <w:right w:val="nil"/>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Beregningsgrunnlag</w:t>
            </w:r>
          </w:p>
        </w:tc>
        <w:tc>
          <w:tcPr>
            <w:tcW w:w="1236" w:type="dxa"/>
            <w:tcBorders>
              <w:top w:val="nil"/>
              <w:left w:val="nil"/>
              <w:bottom w:val="single" w:sz="4" w:space="0" w:color="auto"/>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16.912.942</w:t>
            </w:r>
          </w:p>
        </w:tc>
      </w:tr>
      <w:tr w:rsidR="0080691E" w:rsidRPr="0080691E" w:rsidTr="0080691E">
        <w:trPr>
          <w:trHeight w:val="300"/>
        </w:trPr>
        <w:tc>
          <w:tcPr>
            <w:tcW w:w="159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15,2 %</w:t>
            </w:r>
          </w:p>
        </w:tc>
        <w:tc>
          <w:tcPr>
            <w:tcW w:w="115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12,5 %</w:t>
            </w:r>
          </w:p>
        </w:tc>
        <w:tc>
          <w:tcPr>
            <w:tcW w:w="3596" w:type="dxa"/>
            <w:tcBorders>
              <w:top w:val="nil"/>
              <w:left w:val="nil"/>
              <w:bottom w:val="nil"/>
              <w:right w:val="nil"/>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Ren kjernekapital</w:t>
            </w:r>
          </w:p>
        </w:tc>
        <w:tc>
          <w:tcPr>
            <w:tcW w:w="123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11,6 %</w:t>
            </w:r>
          </w:p>
        </w:tc>
      </w:tr>
      <w:tr w:rsidR="0080691E" w:rsidRPr="0080691E" w:rsidTr="0080691E">
        <w:trPr>
          <w:trHeight w:val="300"/>
        </w:trPr>
        <w:tc>
          <w:tcPr>
            <w:tcW w:w="159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15,2 %</w:t>
            </w:r>
          </w:p>
        </w:tc>
        <w:tc>
          <w:tcPr>
            <w:tcW w:w="115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15,8 %</w:t>
            </w:r>
          </w:p>
        </w:tc>
        <w:tc>
          <w:tcPr>
            <w:tcW w:w="3596" w:type="dxa"/>
            <w:tcBorders>
              <w:top w:val="nil"/>
              <w:left w:val="nil"/>
              <w:bottom w:val="nil"/>
              <w:right w:val="nil"/>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Kjernekapital</w:t>
            </w:r>
          </w:p>
        </w:tc>
        <w:tc>
          <w:tcPr>
            <w:tcW w:w="123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14,6 %</w:t>
            </w:r>
          </w:p>
        </w:tc>
      </w:tr>
      <w:tr w:rsidR="0080691E" w:rsidRPr="0080691E" w:rsidTr="0080691E">
        <w:trPr>
          <w:trHeight w:val="300"/>
        </w:trPr>
        <w:tc>
          <w:tcPr>
            <w:tcW w:w="159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15,2 %</w:t>
            </w:r>
          </w:p>
        </w:tc>
        <w:tc>
          <w:tcPr>
            <w:tcW w:w="115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18,1 %</w:t>
            </w:r>
          </w:p>
        </w:tc>
        <w:tc>
          <w:tcPr>
            <w:tcW w:w="3596" w:type="dxa"/>
            <w:tcBorders>
              <w:top w:val="nil"/>
              <w:left w:val="nil"/>
              <w:bottom w:val="nil"/>
              <w:right w:val="nil"/>
            </w:tcBorders>
            <w:shd w:val="clear" w:color="000000" w:fill="FFFFFF"/>
            <w:noWrap/>
            <w:vAlign w:val="bottom"/>
            <w:hideMark/>
          </w:tcPr>
          <w:p w:rsidR="0080691E" w:rsidRPr="0080691E" w:rsidRDefault="0080691E" w:rsidP="0080691E">
            <w:pPr>
              <w:jc w:val="center"/>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Kapitaldekning</w:t>
            </w:r>
          </w:p>
        </w:tc>
        <w:tc>
          <w:tcPr>
            <w:tcW w:w="1236" w:type="dxa"/>
            <w:tcBorders>
              <w:top w:val="nil"/>
              <w:left w:val="nil"/>
              <w:bottom w:val="nil"/>
              <w:right w:val="nil"/>
            </w:tcBorders>
            <w:shd w:val="clear" w:color="000000" w:fill="FFFFFF"/>
            <w:noWrap/>
            <w:vAlign w:val="bottom"/>
            <w:hideMark/>
          </w:tcPr>
          <w:p w:rsidR="0080691E" w:rsidRPr="0080691E" w:rsidRDefault="0080691E" w:rsidP="0080691E">
            <w:pPr>
              <w:jc w:val="right"/>
              <w:rPr>
                <w:rFonts w:ascii="Calibri" w:eastAsia="Times New Roman" w:hAnsi="Calibri" w:cs="Times New Roman"/>
                <w:color w:val="000000"/>
                <w:szCs w:val="18"/>
                <w:lang w:eastAsia="nb-NO"/>
              </w:rPr>
            </w:pPr>
            <w:r w:rsidRPr="0080691E">
              <w:rPr>
                <w:rFonts w:ascii="Calibri" w:eastAsia="Times New Roman" w:hAnsi="Calibri" w:cs="Times New Roman"/>
                <w:color w:val="000000"/>
                <w:szCs w:val="18"/>
                <w:lang w:eastAsia="nb-NO"/>
              </w:rPr>
              <w:t>16,6 %</w:t>
            </w:r>
          </w:p>
        </w:tc>
      </w:tr>
    </w:tbl>
    <w:p w:rsidR="004379FD" w:rsidRPr="00BF5ABC" w:rsidRDefault="004379FD" w:rsidP="004379FD">
      <w:pPr>
        <w:rPr>
          <w:rFonts w:cs="Arial"/>
          <w:color w:val="FF0000"/>
        </w:rPr>
      </w:pPr>
    </w:p>
    <w:p w:rsidR="009410AF" w:rsidRDefault="009410AF" w:rsidP="004379FD">
      <w:pPr>
        <w:rPr>
          <w:rFonts w:cs="Arial"/>
        </w:rPr>
      </w:pPr>
    </w:p>
    <w:p w:rsidR="004379FD" w:rsidRDefault="009410AF" w:rsidP="004379FD">
      <w:pPr>
        <w:rPr>
          <w:rFonts w:cs="Arial"/>
        </w:rPr>
      </w:pPr>
      <w:r>
        <w:rPr>
          <w:rFonts w:cs="Arial"/>
        </w:rPr>
        <w:t xml:space="preserve">Konsernet er tilfredsstillende kapitalisert, både ut fra nåværende, fremtidige og interne krav til kapitaldekning. </w:t>
      </w:r>
    </w:p>
    <w:p w:rsidR="009410AF" w:rsidRPr="009410AF" w:rsidRDefault="009410AF" w:rsidP="004379FD">
      <w:pPr>
        <w:rPr>
          <w:rFonts w:cs="Arial"/>
        </w:rPr>
      </w:pPr>
    </w:p>
    <w:p w:rsidR="00375E2F" w:rsidRDefault="00375E2F">
      <w:pPr>
        <w:spacing w:after="200" w:line="276" w:lineRule="auto"/>
        <w:rPr>
          <w:rFonts w:cs="Arial"/>
          <w:color w:val="FF0000"/>
        </w:rPr>
      </w:pPr>
    </w:p>
    <w:p w:rsidR="00E5152E" w:rsidRPr="009410AF" w:rsidRDefault="00E5152E">
      <w:pPr>
        <w:spacing w:after="200" w:line="276" w:lineRule="auto"/>
        <w:rPr>
          <w:b/>
          <w:color w:val="000000" w:themeColor="text1"/>
          <w:sz w:val="22"/>
        </w:rPr>
      </w:pPr>
      <w:r w:rsidRPr="009410AF">
        <w:br w:type="page"/>
      </w:r>
    </w:p>
    <w:p w:rsidR="00375E2F" w:rsidRPr="009410AF" w:rsidRDefault="00375E2F" w:rsidP="00375E2F">
      <w:pPr>
        <w:pStyle w:val="Overskrift2"/>
      </w:pPr>
      <w:bookmarkStart w:id="17" w:name="_Toc387671272"/>
      <w:r w:rsidRPr="009410AF">
        <w:t>Endringer i rammevilkår – Basel III</w:t>
      </w:r>
      <w:bookmarkEnd w:id="17"/>
    </w:p>
    <w:p w:rsidR="0042366A" w:rsidRDefault="00375E2F" w:rsidP="00375E2F">
      <w:r w:rsidRPr="009410AF">
        <w:t>Innføring av det nye kapitaldekningsregelverket Basel III vil pågå i perioden frem mot 2</w:t>
      </w:r>
      <w:r w:rsidRPr="0029368B">
        <w:t>019. Innføring</w:t>
      </w:r>
      <w:r w:rsidR="00895407">
        <w:t>en</w:t>
      </w:r>
      <w:r w:rsidRPr="0029368B">
        <w:t xml:space="preserve"> vil ha </w:t>
      </w:r>
      <w:r w:rsidR="00895407">
        <w:t>forholdsvis stor innvirkning på områdene kapital og likviditet.</w:t>
      </w:r>
      <w:r w:rsidRPr="0029368B">
        <w:t xml:space="preserve"> </w:t>
      </w:r>
      <w:r w:rsidR="00895407">
        <w:t>Formålet med nytt regelverk</w:t>
      </w:r>
      <w:r w:rsidRPr="00375E2F">
        <w:t xml:space="preserve"> er å </w:t>
      </w:r>
      <w:r w:rsidR="00895407">
        <w:t xml:space="preserve">sikre opprettholdelsen av </w:t>
      </w:r>
      <w:r w:rsidRPr="00375E2F">
        <w:t xml:space="preserve"> finansiell stabilitet, for på den måten gi økt vern til aktørene som finansierer bankene (både innsk</w:t>
      </w:r>
      <w:r>
        <w:t>ytere</w:t>
      </w:r>
      <w:r w:rsidR="00895407">
        <w:t xml:space="preserve">, eier </w:t>
      </w:r>
      <w:r>
        <w:t>og andre finansielle aktører).</w:t>
      </w:r>
    </w:p>
    <w:p w:rsidR="0042366A" w:rsidRDefault="0042366A" w:rsidP="00375E2F"/>
    <w:p w:rsidR="00B63D87" w:rsidRDefault="0042366A" w:rsidP="00375E2F">
      <w:r>
        <w:t xml:space="preserve">Endringene i rammevilkår medfører økte krav til både kvantitet </w:t>
      </w:r>
      <w:r w:rsidR="00895407">
        <w:t>og kvalitet på egenkapita</w:t>
      </w:r>
      <w:r>
        <w:t>l. Det innføres strengere krav til hvordan kapitalen skal være sammensatt samtidig som det i</w:t>
      </w:r>
      <w:r w:rsidR="00B63D87">
        <w:t>nnfases fire nye kapitalbuffere. Disse fire nye, som alle skal være ren kjernekapital, er:</w:t>
      </w:r>
    </w:p>
    <w:p w:rsidR="00B63D87" w:rsidRDefault="00B63D87" w:rsidP="00375E2F"/>
    <w:p w:rsidR="00B63D87" w:rsidRDefault="00B63D87" w:rsidP="00B63D87">
      <w:pPr>
        <w:pStyle w:val="Listeavsnitt"/>
        <w:numPr>
          <w:ilvl w:val="0"/>
          <w:numId w:val="37"/>
        </w:numPr>
      </w:pPr>
      <w:r>
        <w:t>Bevaringsbuffer</w:t>
      </w:r>
      <w:r>
        <w:tab/>
      </w:r>
      <w:r>
        <w:tab/>
        <w:t>2,5 %</w:t>
      </w:r>
    </w:p>
    <w:p w:rsidR="00B63D87" w:rsidRDefault="00B63D87" w:rsidP="00B63D87">
      <w:pPr>
        <w:pStyle w:val="Listeavsnitt"/>
        <w:numPr>
          <w:ilvl w:val="0"/>
          <w:numId w:val="37"/>
        </w:numPr>
      </w:pPr>
      <w:r>
        <w:t>Systemrisikobuffer</w:t>
      </w:r>
      <w:r>
        <w:tab/>
      </w:r>
      <w:r>
        <w:tab/>
        <w:t>3.0 % (gradvis innføring)</w:t>
      </w:r>
    </w:p>
    <w:p w:rsidR="00B63D87" w:rsidRDefault="00B63D87" w:rsidP="00B63D87">
      <w:pPr>
        <w:pStyle w:val="Listeavsnitt"/>
        <w:numPr>
          <w:ilvl w:val="0"/>
          <w:numId w:val="37"/>
        </w:numPr>
      </w:pPr>
      <w:r>
        <w:t>Buffer for systemviktige banker</w:t>
      </w:r>
      <w:r>
        <w:tab/>
        <w:t>2 % (gradvis innføring)</w:t>
      </w:r>
    </w:p>
    <w:p w:rsidR="00B63D87" w:rsidRDefault="00B63D87" w:rsidP="00B63D87">
      <w:pPr>
        <w:pStyle w:val="Listeavsnitt"/>
        <w:numPr>
          <w:ilvl w:val="0"/>
          <w:numId w:val="37"/>
        </w:numPr>
      </w:pPr>
      <w:proofErr w:type="spellStart"/>
      <w:r>
        <w:t>Motsyklisk</w:t>
      </w:r>
      <w:proofErr w:type="spellEnd"/>
      <w:r>
        <w:tab/>
      </w:r>
      <w:r>
        <w:tab/>
      </w:r>
      <w:r>
        <w:tab/>
        <w:t>1 % (fra juli 2015)</w:t>
      </w:r>
    </w:p>
    <w:p w:rsidR="00B63D87" w:rsidRDefault="00B63D87" w:rsidP="00B63D87"/>
    <w:p w:rsidR="00E57221" w:rsidRDefault="00B63D87" w:rsidP="00B63D87">
      <w:r>
        <w:t xml:space="preserve">Sandnes Sparebank er </w:t>
      </w:r>
      <w:r w:rsidRPr="0039494B">
        <w:rPr>
          <w:u w:val="single"/>
        </w:rPr>
        <w:t>ikke</w:t>
      </w:r>
      <w:r>
        <w:t xml:space="preserve"> systemviktig bank, og trenger dermed i utgangspunktet ikke forholde seg til buffer for systemviktige banker. </w:t>
      </w:r>
    </w:p>
    <w:p w:rsidR="00E57221" w:rsidRDefault="00E57221" w:rsidP="00B63D87"/>
    <w:p w:rsidR="00764C23" w:rsidRDefault="004C1968" w:rsidP="00F47A34">
      <w:r>
        <w:t xml:space="preserve">Ut fra dagens krav til systemviktige banker og uttalt nivå på </w:t>
      </w:r>
      <w:proofErr w:type="spellStart"/>
      <w:r>
        <w:t>motsyklisk</w:t>
      </w:r>
      <w:proofErr w:type="spellEnd"/>
      <w:r>
        <w:t xml:space="preserve"> kapitalbuffer er bankens kapita</w:t>
      </w:r>
      <w:r w:rsidR="00F47A34">
        <w:t>lkrav de neste årene som følger:</w:t>
      </w:r>
    </w:p>
    <w:p w:rsidR="00764C23" w:rsidRDefault="00764C23">
      <w:pPr>
        <w:spacing w:after="200" w:line="276" w:lineRule="auto"/>
        <w:rPr>
          <w:rFonts w:eastAsia="Times New Roman" w:cs="Arial"/>
          <w:b/>
          <w:bCs/>
          <w:sz w:val="24"/>
          <w:szCs w:val="24"/>
          <w:lang w:eastAsia="nb-NO"/>
        </w:rPr>
      </w:pPr>
    </w:p>
    <w:p w:rsidR="00764C23" w:rsidRDefault="00CB49EC" w:rsidP="00CB49EC">
      <w:pPr>
        <w:pStyle w:val="Bildetekst"/>
      </w:pPr>
      <w:bookmarkStart w:id="18" w:name="_Toc387671313"/>
      <w:r>
        <w:t xml:space="preserve">Figur </w:t>
      </w:r>
      <w:r w:rsidR="00E42F82">
        <w:fldChar w:fldCharType="begin"/>
      </w:r>
      <w:r w:rsidR="00E42F82">
        <w:instrText xml:space="preserve"> SEQ Figur \* ARABIC </w:instrText>
      </w:r>
      <w:r w:rsidR="00E42F82">
        <w:fldChar w:fldCharType="separate"/>
      </w:r>
      <w:r w:rsidR="00B06252">
        <w:rPr>
          <w:noProof/>
        </w:rPr>
        <w:t>1</w:t>
      </w:r>
      <w:r w:rsidR="00E42F82">
        <w:rPr>
          <w:noProof/>
        </w:rPr>
        <w:fldChar w:fldCharType="end"/>
      </w:r>
      <w:r>
        <w:t xml:space="preserve"> Fremtidige kapitalkrav</w:t>
      </w:r>
      <w:bookmarkEnd w:id="18"/>
    </w:p>
    <w:p w:rsidR="00CB49EC" w:rsidRPr="00CB49EC" w:rsidRDefault="00CB49EC" w:rsidP="00CB49EC">
      <w:pPr>
        <w:rPr>
          <w:lang w:eastAsia="nb-NO"/>
        </w:rPr>
      </w:pPr>
    </w:p>
    <w:p w:rsidR="00764C23" w:rsidRDefault="0039494B" w:rsidP="00B63D87">
      <w:r>
        <w:rPr>
          <w:noProof/>
          <w:lang w:eastAsia="nb-NO"/>
        </w:rPr>
        <w:drawing>
          <wp:inline distT="0" distB="0" distL="0" distR="0" wp14:anchorId="72A18F4F" wp14:editId="3B03C1CF">
            <wp:extent cx="4572000" cy="4324350"/>
            <wp:effectExtent l="0" t="0" r="0"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E42F82">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yre klammeparentes 9" o:spid="_x0000_s1026" type="#_x0000_t88" style="position:absolute;margin-left:300pt;margin-top:64.65pt;width:11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" adj="106" strokecolor="#0070c0" strokeweight="1.75pt"/>
        </w:pict>
      </w:r>
    </w:p>
    <w:p w:rsidR="00D250FB" w:rsidRDefault="00D250FB" w:rsidP="00B63D87"/>
    <w:p w:rsidR="0039494B" w:rsidRDefault="00D250FB" w:rsidP="00B63D87">
      <w:r>
        <w:t>De nye kravene innebærer at m</w:t>
      </w:r>
      <w:r w:rsidR="00484B02">
        <w:t>instekravet til ansvarlig kapita</w:t>
      </w:r>
      <w:r>
        <w:t xml:space="preserve">l økes til </w:t>
      </w:r>
      <w:r w:rsidR="00895407">
        <w:t>1</w:t>
      </w:r>
      <w:r>
        <w:t>4,5 %</w:t>
      </w:r>
      <w:r w:rsidR="00895407">
        <w:t xml:space="preserve"> fra og med juli 2016. </w:t>
      </w:r>
      <w:r>
        <w:t xml:space="preserve"> </w:t>
      </w:r>
    </w:p>
    <w:p w:rsidR="0039494B" w:rsidRDefault="0039494B" w:rsidP="00B63D87">
      <w:r>
        <w:t>Kravete om 8 % kapitaldekning videreføres fra dagens regelverk, i tillegg til krav om 4,5 % ren kjernekapitaldekning og 6 % kjernekapitaldekning. Vedtatte kapitalbuffere skal bestå av ren kjernekapital.</w:t>
      </w:r>
    </w:p>
    <w:p w:rsidR="00D250FB" w:rsidRDefault="00D250FB" w:rsidP="00B63D87"/>
    <w:p w:rsidR="00D250FB" w:rsidRDefault="00D250FB" w:rsidP="00B63D87">
      <w:r>
        <w:t xml:space="preserve">Selv om dagens nivå på </w:t>
      </w:r>
      <w:proofErr w:type="spellStart"/>
      <w:r>
        <w:t>motsyklis</w:t>
      </w:r>
      <w:r w:rsidR="00F963C6">
        <w:t>k</w:t>
      </w:r>
      <w:proofErr w:type="spellEnd"/>
      <w:r>
        <w:t xml:space="preserve"> kapitalbuffer er på 1 % </w:t>
      </w:r>
      <w:r w:rsidR="0039494B">
        <w:t>har myndighetene mulighet til å øke nivået opp til 2,5 % - eller høyere dersom det er særskilte forhold som tilsier en slik økning</w:t>
      </w:r>
      <w:r>
        <w:t>. Det er</w:t>
      </w:r>
      <w:r w:rsidR="00484B02">
        <w:t xml:space="preserve"> i utgangspunktet</w:t>
      </w:r>
      <w:r>
        <w:t xml:space="preserve"> 1 års varslingstid på økninger i denne kapitalbuff</w:t>
      </w:r>
      <w:r w:rsidR="00B23700">
        <w:t xml:space="preserve">eren, men myndighetene har mulighetene til å innføre økninger raskere ved særskilte forhold. </w:t>
      </w:r>
    </w:p>
    <w:p w:rsidR="00D250FB" w:rsidRDefault="00D250FB" w:rsidP="00B63D87"/>
    <w:p w:rsidR="00A81CD1" w:rsidRDefault="00B23700" w:rsidP="00B63D87">
      <w:r>
        <w:t>Norges Bank</w:t>
      </w:r>
      <w:r w:rsidR="00D250FB">
        <w:t xml:space="preserve"> er det rådgivende organ i vurdering av størrelsen på den </w:t>
      </w:r>
      <w:proofErr w:type="spellStart"/>
      <w:r w:rsidR="00D250FB">
        <w:t>motsykliske</w:t>
      </w:r>
      <w:proofErr w:type="spellEnd"/>
      <w:r w:rsidR="00D250FB">
        <w:t xml:space="preserve"> kapitalbufferen</w:t>
      </w:r>
      <w:r>
        <w:t>, men</w:t>
      </w:r>
      <w:r w:rsidR="00D250FB">
        <w:t xml:space="preserve"> det</w:t>
      </w:r>
      <w:r>
        <w:t xml:space="preserve"> er</w:t>
      </w:r>
      <w:r w:rsidR="00D250FB">
        <w:t xml:space="preserve"> </w:t>
      </w:r>
      <w:r w:rsidR="00A81CD1">
        <w:t xml:space="preserve">Finansdepartementet som fastsetter nivået. </w:t>
      </w:r>
    </w:p>
    <w:p w:rsidR="00A81CD1" w:rsidRDefault="00A81CD1" w:rsidP="00B63D87"/>
    <w:p w:rsidR="00A81CD1" w:rsidRDefault="00A81CD1" w:rsidP="00B63D87">
      <w:r>
        <w:t>Med utgangspunkt i dagens skisserte nivåer på buffere vil samlet krav til ren kjernekapital være 10 % fra juli 2014 og 11 % fra juli 2015. Sandnes Sparebank oppfyller disse krave</w:t>
      </w:r>
      <w:r w:rsidR="00B23700">
        <w:t xml:space="preserve">ne. Konsernets kapitalkrav  kan imidlertid øke. Som tidligere nevnt kan </w:t>
      </w:r>
      <w:proofErr w:type="spellStart"/>
      <w:r w:rsidR="00B23700">
        <w:t>motsyklisk</w:t>
      </w:r>
      <w:proofErr w:type="spellEnd"/>
      <w:r w:rsidR="00B23700">
        <w:t xml:space="preserve"> buffer økes samt at </w:t>
      </w:r>
      <w:r>
        <w:t xml:space="preserve">kapitalkravet for systemkritiske banker kan </w:t>
      </w:r>
      <w:r w:rsidR="00B23700">
        <w:t>"</w:t>
      </w:r>
      <w:r>
        <w:t>smitte</w:t>
      </w:r>
      <w:r w:rsidR="00B23700">
        <w:t>" over på mindre banker, som for eksempel Sandnes Sparebank. Dette medfører at konsernet til enhver tid vil ha en kapitalbuffer i forhold til gjeldene myndighetsfastsatte kapitalkrav</w:t>
      </w:r>
    </w:p>
    <w:p w:rsidR="00B23700" w:rsidRDefault="00B23700" w:rsidP="00B63D87"/>
    <w:p w:rsidR="00A81CD1" w:rsidRDefault="00A81CD1" w:rsidP="00B63D87">
      <w:r>
        <w:t>I tillegg til nye kapitalkrav vil det i samme perioden bli innført regulatoriske minstekrav til både likviditet og langsiktig finansiering (LCR og NSFR). Sandnes Sparebank oppfyller NSFR kravet, men tilpassinger gjennomføres for å op</w:t>
      </w:r>
      <w:r w:rsidR="009805E3">
        <w:t>pnå LC</w:t>
      </w:r>
      <w:r>
        <w:t xml:space="preserve">R kravet. </w:t>
      </w:r>
    </w:p>
    <w:p w:rsidR="00E5152E" w:rsidRPr="00764C23" w:rsidRDefault="00E5152E" w:rsidP="00B63D87">
      <w:pPr>
        <w:rPr>
          <w:color w:val="FF0000"/>
        </w:rPr>
      </w:pPr>
    </w:p>
    <w:p w:rsidR="00375E2F" w:rsidRPr="00375E2F" w:rsidRDefault="00A81CD1" w:rsidP="00375E2F">
      <w:r>
        <w:t xml:space="preserve">Det nye regelverket stiller også nye krav til beredskap- og avviklingsplaner for bankene. </w:t>
      </w:r>
      <w:r w:rsidR="005134A0">
        <w:t>Regelverket åpner blant annet for at ulike typer innlån kan konverteres til egenkapital. Dette kan ha innvirkning på bankenes innlånskost.</w:t>
      </w:r>
      <w:r w:rsidR="004B3C6C" w:rsidRPr="00375E2F">
        <w:br w:type="page"/>
      </w:r>
    </w:p>
    <w:p w:rsidR="009259DD" w:rsidRPr="00F963C6" w:rsidRDefault="00F073CC" w:rsidP="00F073CC">
      <w:pPr>
        <w:pStyle w:val="Overskrift2"/>
        <w:rPr>
          <w:color w:val="auto"/>
        </w:rPr>
      </w:pPr>
      <w:bookmarkStart w:id="19" w:name="_Toc387671273"/>
      <w:r w:rsidRPr="00F963C6">
        <w:rPr>
          <w:color w:val="auto"/>
        </w:rPr>
        <w:t>Pilar 2</w:t>
      </w:r>
      <w:r w:rsidR="00163A3C" w:rsidRPr="00F963C6">
        <w:rPr>
          <w:color w:val="auto"/>
        </w:rPr>
        <w:t xml:space="preserve"> – Egenvurdering av risiko og kapital</w:t>
      </w:r>
      <w:bookmarkEnd w:id="19"/>
    </w:p>
    <w:p w:rsidR="00F073CC" w:rsidRPr="00F963C6" w:rsidRDefault="00F073CC" w:rsidP="00F073CC">
      <w:r w:rsidRPr="00F963C6">
        <w:t xml:space="preserve">Pilar 2 omfatter krav til bankens egenvurdering av både risiko og (internt) kapitalbehov. </w:t>
      </w:r>
    </w:p>
    <w:p w:rsidR="00F073CC" w:rsidRPr="00F963C6" w:rsidRDefault="00F073CC" w:rsidP="00F073CC"/>
    <w:p w:rsidR="00F073CC" w:rsidRPr="00F963C6" w:rsidRDefault="00764C23" w:rsidP="00F073CC">
      <w:r>
        <w:t>Pilar 2 baserer</w:t>
      </w:r>
      <w:r w:rsidR="00163A3C" w:rsidRPr="00F963C6">
        <w:t xml:space="preserve"> seg</w:t>
      </w:r>
      <w:r w:rsidR="00F073CC" w:rsidRPr="00F963C6">
        <w:t xml:space="preserve"> på to hovedprinsipper:</w:t>
      </w:r>
    </w:p>
    <w:p w:rsidR="00F073CC" w:rsidRPr="00F963C6" w:rsidRDefault="00F073CC" w:rsidP="00F073CC"/>
    <w:p w:rsidR="00CE627D" w:rsidRPr="00F963C6" w:rsidRDefault="00CE627D" w:rsidP="00CE627D">
      <w:pPr>
        <w:pStyle w:val="Bildetekst"/>
      </w:pPr>
      <w:bookmarkStart w:id="20" w:name="_Toc387671304"/>
      <w:r w:rsidRPr="00F963C6">
        <w:t xml:space="preserve">Tabell </w:t>
      </w:r>
      <w:r w:rsidR="007A5301" w:rsidRPr="00F963C6">
        <w:fldChar w:fldCharType="begin"/>
      </w:r>
      <w:r w:rsidR="00AB2FC8" w:rsidRPr="00F963C6">
        <w:instrText xml:space="preserve"> SEQ Tabell \* ARABIC </w:instrText>
      </w:r>
      <w:r w:rsidR="007A5301" w:rsidRPr="00F963C6">
        <w:fldChar w:fldCharType="separate"/>
      </w:r>
      <w:r w:rsidR="00CB49EC">
        <w:rPr>
          <w:noProof/>
        </w:rPr>
        <w:t>6</w:t>
      </w:r>
      <w:r w:rsidR="007A5301" w:rsidRPr="00F963C6">
        <w:rPr>
          <w:noProof/>
        </w:rPr>
        <w:fldChar w:fldCharType="end"/>
      </w:r>
      <w:r w:rsidRPr="00F963C6">
        <w:t xml:space="preserve"> Pilar II - Prinsipper</w:t>
      </w:r>
      <w:bookmarkEnd w:id="20"/>
    </w:p>
    <w:p w:rsidR="00F073CC" w:rsidRPr="00F963C6" w:rsidRDefault="00F073CC" w:rsidP="00F073CC"/>
    <w:tbl>
      <w:tblPr>
        <w:tblStyle w:val="Middelsliste2-uthevingsfarge2"/>
        <w:tblW w:w="0" w:type="auto"/>
        <w:tblLook w:val="04A0" w:firstRow="1" w:lastRow="0" w:firstColumn="1" w:lastColumn="0" w:noHBand="0" w:noVBand="1"/>
      </w:tblPr>
      <w:tblGrid>
        <w:gridCol w:w="4606"/>
        <w:gridCol w:w="4606"/>
      </w:tblGrid>
      <w:tr w:rsidR="00BF5ABC" w:rsidRPr="00F963C6" w:rsidTr="00F073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06" w:type="dxa"/>
          </w:tcPr>
          <w:p w:rsidR="00F073CC" w:rsidRPr="00F963C6" w:rsidRDefault="00F073CC" w:rsidP="00F073CC">
            <w:pPr>
              <w:rPr>
                <w:color w:val="auto"/>
              </w:rPr>
            </w:pPr>
            <w:r w:rsidRPr="00F963C6">
              <w:rPr>
                <w:color w:val="auto"/>
              </w:rPr>
              <w:t>Prinsipp 1</w:t>
            </w:r>
          </w:p>
        </w:tc>
        <w:tc>
          <w:tcPr>
            <w:tcW w:w="4606" w:type="dxa"/>
          </w:tcPr>
          <w:p w:rsidR="00F073CC" w:rsidRPr="00F963C6" w:rsidRDefault="00F073CC" w:rsidP="00F073CC">
            <w:pPr>
              <w:cnfStyle w:val="100000000000" w:firstRow="1" w:lastRow="0" w:firstColumn="0" w:lastColumn="0" w:oddVBand="0" w:evenVBand="0" w:oddHBand="0" w:evenHBand="0" w:firstRowFirstColumn="0" w:firstRowLastColumn="0" w:lastRowFirstColumn="0" w:lastRowLastColumn="0"/>
              <w:rPr>
                <w:color w:val="auto"/>
              </w:rPr>
            </w:pPr>
            <w:r w:rsidRPr="00F963C6">
              <w:rPr>
                <w:color w:val="auto"/>
              </w:rPr>
              <w:t>Prinsipp 2</w:t>
            </w:r>
          </w:p>
        </w:tc>
      </w:tr>
      <w:tr w:rsidR="00BF5ABC" w:rsidRPr="00F963C6" w:rsidTr="00F07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F073CC" w:rsidRPr="00F963C6" w:rsidRDefault="00F073CC" w:rsidP="00F073CC">
            <w:pPr>
              <w:rPr>
                <w:color w:val="auto"/>
              </w:rPr>
            </w:pPr>
            <w:r w:rsidRPr="00F963C6">
              <w:rPr>
                <w:color w:val="auto"/>
              </w:rPr>
              <w:t>Banken skal ha en intern prosess (ICAAP) for å vurdere sin totale kapital i forhold til vurdert risikoprofil. I tillegg må banken etablere en strategi for å opprettholde et tilfredsstillende kapitalnivå.</w:t>
            </w:r>
          </w:p>
        </w:tc>
        <w:tc>
          <w:tcPr>
            <w:tcW w:w="4606" w:type="dxa"/>
          </w:tcPr>
          <w:p w:rsidR="00F073CC" w:rsidRPr="00F963C6" w:rsidRDefault="00F073CC" w:rsidP="00F073CC">
            <w:pPr>
              <w:cnfStyle w:val="000000100000" w:firstRow="0" w:lastRow="0" w:firstColumn="0" w:lastColumn="0" w:oddVBand="0" w:evenVBand="0" w:oddHBand="1" w:evenHBand="0" w:firstRowFirstColumn="0" w:firstRowLastColumn="0" w:lastRowFirstColumn="0" w:lastRowLastColumn="0"/>
              <w:rPr>
                <w:color w:val="auto"/>
              </w:rPr>
            </w:pPr>
            <w:r w:rsidRPr="00F963C6">
              <w:rPr>
                <w:color w:val="auto"/>
              </w:rPr>
              <w:t xml:space="preserve">I prinsipp 2 ligger det at tilsynsmyndighetene skal gjennomgå og evaluere bankens interne vurdering av kapitalbehov og strategier. I tillegg skal de overvåke og sikre overholdelse av de myndighetspålagte kapitalkravene. Dersom Finanstilsynet ikke er fornøyd med resultatene av den interne prosessen har de myndighet til å iverksette ”passende </w:t>
            </w:r>
            <w:proofErr w:type="spellStart"/>
            <w:r w:rsidRPr="00F963C6">
              <w:rPr>
                <w:color w:val="auto"/>
              </w:rPr>
              <w:t>tilsynsmessige</w:t>
            </w:r>
            <w:proofErr w:type="spellEnd"/>
            <w:r w:rsidRPr="00F963C6">
              <w:rPr>
                <w:color w:val="auto"/>
              </w:rPr>
              <w:t xml:space="preserve"> tiltak”</w:t>
            </w:r>
          </w:p>
        </w:tc>
      </w:tr>
    </w:tbl>
    <w:p w:rsidR="00377B49" w:rsidRPr="00BF5ABC" w:rsidRDefault="00377B49" w:rsidP="00377B49">
      <w:pPr>
        <w:jc w:val="both"/>
        <w:rPr>
          <w:color w:val="FF0000"/>
        </w:rPr>
      </w:pPr>
    </w:p>
    <w:p w:rsidR="00CE627D" w:rsidRPr="00BF5ABC" w:rsidRDefault="00CE627D" w:rsidP="00377B49">
      <w:pPr>
        <w:jc w:val="both"/>
        <w:rPr>
          <w:color w:val="FF0000"/>
        </w:rPr>
      </w:pPr>
    </w:p>
    <w:p w:rsidR="00377B49" w:rsidRPr="00F963C6" w:rsidRDefault="00377B49" w:rsidP="00377B49">
      <w:pPr>
        <w:jc w:val="both"/>
      </w:pPr>
      <w:r w:rsidRPr="00F963C6">
        <w:t xml:space="preserve">ICAAP er en </w:t>
      </w:r>
      <w:r w:rsidR="00163A3C" w:rsidRPr="00F963C6">
        <w:t xml:space="preserve">kontinuerlig </w:t>
      </w:r>
      <w:r w:rsidRPr="00F963C6">
        <w:t>prosess</w:t>
      </w:r>
      <w:r w:rsidR="00163A3C" w:rsidRPr="00F963C6">
        <w:t>. R</w:t>
      </w:r>
      <w:r w:rsidRPr="00F963C6">
        <w:t xml:space="preserve">isk avdeling har ansvaret for ICAAP prosessen og </w:t>
      </w:r>
      <w:r w:rsidR="00163A3C" w:rsidRPr="00F963C6">
        <w:t>utarbeidelse årlig oppsummering. B</w:t>
      </w:r>
      <w:r w:rsidRPr="00F963C6">
        <w:t xml:space="preserve">eregninger og vurderinger skjer i tett dialog med de ulike avdelingene i banken. Dette innebærer at banken kontinuerlig </w:t>
      </w:r>
      <w:r w:rsidR="00163A3C" w:rsidRPr="00F963C6">
        <w:t xml:space="preserve">til </w:t>
      </w:r>
      <w:proofErr w:type="spellStart"/>
      <w:r w:rsidR="00163A3C" w:rsidRPr="00F963C6">
        <w:t>envhver</w:t>
      </w:r>
      <w:proofErr w:type="spellEnd"/>
      <w:r w:rsidR="00163A3C" w:rsidRPr="00F963C6">
        <w:t xml:space="preserve"> tid har en vurdering over antatte </w:t>
      </w:r>
      <w:r w:rsidRPr="00F963C6">
        <w:t xml:space="preserve">risikoer </w:t>
      </w:r>
      <w:r w:rsidR="00163A3C" w:rsidRPr="00F963C6">
        <w:t xml:space="preserve">banken kan være, og er eksponert mot, </w:t>
      </w:r>
      <w:r w:rsidRPr="00F963C6">
        <w:t xml:space="preserve">samtidig </w:t>
      </w:r>
      <w:r w:rsidR="00163A3C" w:rsidRPr="00F963C6">
        <w:t xml:space="preserve">som </w:t>
      </w:r>
      <w:r w:rsidRPr="00F963C6">
        <w:t>nivået og kvalitete</w:t>
      </w:r>
      <w:r w:rsidR="00163A3C" w:rsidRPr="00F963C6">
        <w:t>n på bankens ansvarlige kapital vurderes.</w:t>
      </w:r>
    </w:p>
    <w:p w:rsidR="00377B49" w:rsidRPr="00F963C6" w:rsidRDefault="00377B49" w:rsidP="00377B49"/>
    <w:p w:rsidR="00377B49" w:rsidRPr="00F963C6" w:rsidRDefault="00377B49" w:rsidP="00377B49">
      <w:r w:rsidRPr="00F963C6">
        <w:t>Bankens prosess for opprettho</w:t>
      </w:r>
      <w:r w:rsidR="003F675D" w:rsidRPr="00F963C6">
        <w:t>ldelse av kapitalbehovet styres</w:t>
      </w:r>
      <w:r w:rsidRPr="00F963C6">
        <w:t xml:space="preserve"> i hovedsak </w:t>
      </w:r>
      <w:r w:rsidR="003F675D" w:rsidRPr="00F963C6">
        <w:t>gjennom</w:t>
      </w:r>
      <w:r w:rsidRPr="00F963C6">
        <w:t xml:space="preserve"> bankens kapitalplan</w:t>
      </w:r>
      <w:r w:rsidR="003F675D" w:rsidRPr="00F963C6">
        <w:t>. K</w:t>
      </w:r>
      <w:r w:rsidRPr="00F963C6">
        <w:t xml:space="preserve">apitalplanen </w:t>
      </w:r>
      <w:r w:rsidR="003F675D" w:rsidRPr="00F963C6">
        <w:t xml:space="preserve">skal </w:t>
      </w:r>
      <w:r w:rsidRPr="00F963C6">
        <w:t>sikre at banken</w:t>
      </w:r>
      <w:r w:rsidR="003F675D" w:rsidRPr="00F963C6">
        <w:t xml:space="preserve"> har</w:t>
      </w:r>
      <w:r w:rsidR="00C76481">
        <w:t>,</w:t>
      </w:r>
      <w:r w:rsidR="003F675D" w:rsidRPr="00F963C6">
        <w:t xml:space="preserve"> og vil ha</w:t>
      </w:r>
      <w:r w:rsidRPr="00F963C6">
        <w:t xml:space="preserve"> tilstrekkel</w:t>
      </w:r>
      <w:r w:rsidR="003F675D" w:rsidRPr="00F963C6">
        <w:t>ig</w:t>
      </w:r>
      <w:r w:rsidRPr="00F963C6">
        <w:t xml:space="preserve"> soliditet</w:t>
      </w:r>
      <w:r w:rsidR="003F675D" w:rsidRPr="00F963C6">
        <w:t xml:space="preserve">, </w:t>
      </w:r>
      <w:r w:rsidR="00C76481">
        <w:t xml:space="preserve">noe som også sikrer konsernets </w:t>
      </w:r>
      <w:r w:rsidRPr="00F963C6">
        <w:t xml:space="preserve"> tilgang på </w:t>
      </w:r>
      <w:r w:rsidR="00C76481">
        <w:t xml:space="preserve">nødvendig </w:t>
      </w:r>
      <w:r w:rsidRPr="00F963C6">
        <w:t>likviditet.</w:t>
      </w:r>
    </w:p>
    <w:p w:rsidR="00377B49" w:rsidRPr="00F963C6" w:rsidRDefault="00377B49" w:rsidP="00377B49"/>
    <w:p w:rsidR="003F675D" w:rsidRDefault="003F675D" w:rsidP="00377B49">
      <w:r w:rsidRPr="00F963C6">
        <w:t>Arbeidet med utarbeidelse og oppfølging av kapitalplanen er et resultat av integrasjon mellom strategiarbeidet i banken, prognoser samt kredittmiljøet i banken:</w:t>
      </w:r>
    </w:p>
    <w:p w:rsidR="00764C23" w:rsidRPr="00F963C6" w:rsidRDefault="00764C23" w:rsidP="00377B49"/>
    <w:p w:rsidR="00377B49" w:rsidRPr="00BF5ABC" w:rsidRDefault="00377B49" w:rsidP="00377B49">
      <w:pPr>
        <w:rPr>
          <w:color w:val="FF0000"/>
        </w:rPr>
      </w:pPr>
    </w:p>
    <w:p w:rsidR="00377B49" w:rsidRPr="00F963C6" w:rsidRDefault="00377B49" w:rsidP="00377B49">
      <w:pPr>
        <w:pStyle w:val="Bildetekst"/>
      </w:pPr>
      <w:bookmarkStart w:id="21" w:name="_Toc387671314"/>
      <w:r w:rsidRPr="00F963C6">
        <w:t xml:space="preserve">Figur </w:t>
      </w:r>
      <w:r w:rsidR="007A5301" w:rsidRPr="00F963C6">
        <w:fldChar w:fldCharType="begin"/>
      </w:r>
      <w:r w:rsidR="00AB2FC8" w:rsidRPr="00F963C6">
        <w:instrText xml:space="preserve"> SEQ Figur \* ARABIC </w:instrText>
      </w:r>
      <w:r w:rsidR="007A5301" w:rsidRPr="00F963C6">
        <w:fldChar w:fldCharType="separate"/>
      </w:r>
      <w:r w:rsidR="00B06252">
        <w:rPr>
          <w:noProof/>
        </w:rPr>
        <w:t>2</w:t>
      </w:r>
      <w:r w:rsidR="007A5301" w:rsidRPr="00F963C6">
        <w:rPr>
          <w:noProof/>
        </w:rPr>
        <w:fldChar w:fldCharType="end"/>
      </w:r>
      <w:r w:rsidRPr="00F963C6">
        <w:t xml:space="preserve"> Kapitalplan</w:t>
      </w:r>
      <w:bookmarkEnd w:id="21"/>
    </w:p>
    <w:p w:rsidR="00377B49" w:rsidRPr="00BF5ABC" w:rsidRDefault="00377B49" w:rsidP="00377B49">
      <w:pPr>
        <w:rPr>
          <w:color w:val="FF0000"/>
        </w:rPr>
      </w:pPr>
      <w:r w:rsidRPr="00BF5ABC">
        <w:rPr>
          <w:noProof/>
          <w:color w:val="FF0000"/>
          <w:lang w:eastAsia="nb-NO"/>
        </w:rPr>
        <w:drawing>
          <wp:inline distT="0" distB="0" distL="0" distR="0" wp14:anchorId="0E42E44F" wp14:editId="373D5B2E">
            <wp:extent cx="4942936" cy="2553419"/>
            <wp:effectExtent l="0" t="0" r="0" b="0"/>
            <wp:docPr id="2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F675D" w:rsidRPr="00062558" w:rsidRDefault="003F675D" w:rsidP="00377B49"/>
    <w:p w:rsidR="00A82B60" w:rsidRPr="00062558" w:rsidRDefault="00A82B60" w:rsidP="00377B49">
      <w:r w:rsidRPr="00062558">
        <w:t>Utarbeidelse, og oppdateri</w:t>
      </w:r>
      <w:r w:rsidR="00C76481">
        <w:t>ng av kapitalplan skjer gjennom</w:t>
      </w:r>
      <w:r w:rsidRPr="00062558">
        <w:t xml:space="preserve"> </w:t>
      </w:r>
      <w:r w:rsidR="00CB13AE" w:rsidRPr="00062558">
        <w:t>samhandling</w:t>
      </w:r>
      <w:r w:rsidRPr="00062558">
        <w:t xml:space="preserve"> av strategiarbeid, prognoser, ICAAP og utstrakt kommunikasjon mellom bankens kredittmiljø og bankens finansmiljø.</w:t>
      </w:r>
    </w:p>
    <w:p w:rsidR="00F073CC" w:rsidRDefault="00F073CC" w:rsidP="00F073CC">
      <w:pPr>
        <w:rPr>
          <w:color w:val="FF0000"/>
        </w:rPr>
      </w:pPr>
    </w:p>
    <w:p w:rsidR="00B06252" w:rsidRDefault="00B06252">
      <w:pPr>
        <w:spacing w:after="200" w:line="276" w:lineRule="auto"/>
      </w:pPr>
      <w:r>
        <w:br w:type="page"/>
      </w:r>
    </w:p>
    <w:p w:rsidR="00B06252" w:rsidRDefault="00B06252" w:rsidP="00F073CC">
      <w:r w:rsidRPr="00B06252">
        <w:t xml:space="preserve">Sist </w:t>
      </w:r>
      <w:r w:rsidR="00C76481">
        <w:t xml:space="preserve">gjennomførte ICAAP i konsernet </w:t>
      </w:r>
      <w:r w:rsidRPr="00B06252">
        <w:t>førte fre</w:t>
      </w:r>
      <w:r>
        <w:t>m til følgende kapitalfordeling innfor de ulik risikoområdene:</w:t>
      </w:r>
    </w:p>
    <w:p w:rsidR="00B06252" w:rsidRDefault="00B06252" w:rsidP="00F073CC"/>
    <w:p w:rsidR="00B06252" w:rsidRDefault="00B06252" w:rsidP="00B06252">
      <w:pPr>
        <w:pStyle w:val="Bildetekst"/>
      </w:pPr>
      <w:bookmarkStart w:id="22" w:name="_Toc387671315"/>
      <w:r>
        <w:t xml:space="preserve">Figur </w:t>
      </w:r>
      <w:r w:rsidR="00E42F82">
        <w:fldChar w:fldCharType="begin"/>
      </w:r>
      <w:r w:rsidR="00E42F82">
        <w:instrText xml:space="preserve"> SEQ Figur \* ARABIC </w:instrText>
      </w:r>
      <w:r w:rsidR="00E42F82">
        <w:fldChar w:fldCharType="separate"/>
      </w:r>
      <w:r>
        <w:rPr>
          <w:noProof/>
        </w:rPr>
        <w:t>3</w:t>
      </w:r>
      <w:r w:rsidR="00E42F82">
        <w:rPr>
          <w:noProof/>
        </w:rPr>
        <w:fldChar w:fldCharType="end"/>
      </w:r>
      <w:r>
        <w:t xml:space="preserve"> Kapitalfordeling ICAAP</w:t>
      </w:r>
      <w:bookmarkEnd w:id="22"/>
    </w:p>
    <w:p w:rsidR="00B06252" w:rsidRDefault="00B06252" w:rsidP="00F073CC"/>
    <w:p w:rsidR="00B06252" w:rsidRDefault="00B06252" w:rsidP="00F073CC">
      <w:r>
        <w:rPr>
          <w:noProof/>
          <w:lang w:eastAsia="nb-NO"/>
        </w:rPr>
        <w:drawing>
          <wp:inline distT="0" distB="0" distL="0" distR="0" wp14:anchorId="0CAAD4E2" wp14:editId="10B5A205">
            <wp:extent cx="4572000" cy="2743200"/>
            <wp:effectExtent l="0" t="0" r="0" b="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76481" w:rsidRDefault="00C76481" w:rsidP="00F073CC"/>
    <w:p w:rsidR="00B06252" w:rsidRDefault="00B06252" w:rsidP="00F073CC">
      <w:r>
        <w:t xml:space="preserve">I forbindelse med </w:t>
      </w:r>
      <w:r w:rsidR="00C76481">
        <w:t>denne prosessen</w:t>
      </w:r>
      <w:r>
        <w:t xml:space="preserve"> er det ikke tatt hensyn til eventuelle </w:t>
      </w:r>
      <w:proofErr w:type="spellStart"/>
      <w:r>
        <w:t>diversifiseringseffekter</w:t>
      </w:r>
      <w:proofErr w:type="spellEnd"/>
      <w:r>
        <w:t xml:space="preserve"> mellom ulik</w:t>
      </w:r>
      <w:r w:rsidR="00C76481">
        <w:t>e</w:t>
      </w:r>
      <w:r>
        <w:t xml:space="preserve"> risikoområder.</w:t>
      </w:r>
    </w:p>
    <w:p w:rsidR="00B06252" w:rsidRDefault="00B06252" w:rsidP="00F073CC"/>
    <w:p w:rsidR="00B06252" w:rsidRPr="00B06252" w:rsidRDefault="00B06252" w:rsidP="00F073CC">
      <w:r>
        <w:t xml:space="preserve">I forbindelse med ICAAP gjennomføres også ulike scenariomodelleringer og stresstester. Resultatene av disse viser at konsernet har en robust kapitaldekning. </w:t>
      </w:r>
    </w:p>
    <w:p w:rsidR="00B06252" w:rsidRPr="00B06252" w:rsidRDefault="00B06252" w:rsidP="00F073CC">
      <w:pPr>
        <w:rPr>
          <w:color w:val="FF0000"/>
        </w:rPr>
      </w:pPr>
    </w:p>
    <w:p w:rsidR="00764C23" w:rsidRPr="00B06252" w:rsidRDefault="00764C23" w:rsidP="00F073CC">
      <w:pPr>
        <w:rPr>
          <w:color w:val="FF0000"/>
        </w:rPr>
      </w:pPr>
    </w:p>
    <w:p w:rsidR="00CE627D" w:rsidRPr="00062558" w:rsidRDefault="00CE627D" w:rsidP="00CE627D">
      <w:pPr>
        <w:pStyle w:val="Overskrift2"/>
        <w:rPr>
          <w:color w:val="auto"/>
        </w:rPr>
      </w:pPr>
      <w:bookmarkStart w:id="23" w:name="_Toc387671274"/>
      <w:r w:rsidRPr="00062558">
        <w:rPr>
          <w:color w:val="auto"/>
        </w:rPr>
        <w:t xml:space="preserve">Pilar 3 </w:t>
      </w:r>
      <w:r w:rsidR="00434C3E" w:rsidRPr="00062558">
        <w:rPr>
          <w:color w:val="auto"/>
        </w:rPr>
        <w:t>– Offentliggjøring av finansiell informasjon</w:t>
      </w:r>
      <w:bookmarkEnd w:id="23"/>
    </w:p>
    <w:p w:rsidR="0038344A" w:rsidRPr="00062558" w:rsidRDefault="00CE627D" w:rsidP="00CE627D">
      <w:r w:rsidRPr="00062558">
        <w:t xml:space="preserve">Pilar 3 skal bidra til økt markedsdisiplin gjennom krav til offentliggjøring av informasjon som gjør det mulig for markedet, herunder analytikere og investorer, og vurder </w:t>
      </w:r>
      <w:r w:rsidR="00434C3E" w:rsidRPr="00062558">
        <w:t>bankens</w:t>
      </w:r>
      <w:r w:rsidRPr="00062558">
        <w:t xml:space="preserve"> risikoprofil, kapitalisering</w:t>
      </w:r>
      <w:r w:rsidR="0038344A" w:rsidRPr="00062558">
        <w:t xml:space="preserve">, styring og kontroll. </w:t>
      </w:r>
    </w:p>
    <w:p w:rsidR="00434C3E" w:rsidRPr="00062558" w:rsidRDefault="00434C3E" w:rsidP="00CE627D"/>
    <w:p w:rsidR="0038344A" w:rsidRPr="00062558" w:rsidRDefault="0038344A" w:rsidP="00CE627D">
      <w:r w:rsidRPr="00062558">
        <w:t>Informasjonskravene fører til at alle banker skal publisere informasjon om organisasjonsstruktur, system for risikostyring, rapporteringskanaler samt hvordan risiko- og kapitalstyringen er oppbygd og organisert. Videre er det gitt detaljerte krav til offentliggjøring av kapitalnivå og struktur samt.</w:t>
      </w:r>
    </w:p>
    <w:p w:rsidR="00377B49" w:rsidRPr="00BF5ABC" w:rsidRDefault="00377B49" w:rsidP="00706A38">
      <w:pPr>
        <w:jc w:val="both"/>
        <w:rPr>
          <w:color w:val="FF0000"/>
        </w:rPr>
      </w:pPr>
      <w:bookmarkStart w:id="24" w:name="_Toc271617071"/>
    </w:p>
    <w:p w:rsidR="00434C3E" w:rsidRPr="00BF5ABC" w:rsidRDefault="00434C3E">
      <w:pPr>
        <w:spacing w:after="200" w:line="276" w:lineRule="auto"/>
        <w:rPr>
          <w:b/>
          <w:color w:val="FF0000"/>
          <w:sz w:val="22"/>
        </w:rPr>
      </w:pPr>
      <w:bookmarkStart w:id="25" w:name="_Toc271617073"/>
      <w:bookmarkEnd w:id="24"/>
    </w:p>
    <w:p w:rsidR="00B06252" w:rsidRDefault="00B06252">
      <w:pPr>
        <w:spacing w:after="200" w:line="276" w:lineRule="auto"/>
        <w:rPr>
          <w:rStyle w:val="Overskrift1Tegn"/>
          <w:b w:val="0"/>
          <w:bCs w:val="0"/>
          <w:color w:val="auto"/>
        </w:rPr>
      </w:pPr>
      <w:bookmarkStart w:id="26" w:name="_Toc271617074"/>
      <w:bookmarkEnd w:id="25"/>
      <w:r>
        <w:rPr>
          <w:rStyle w:val="Overskrift1Tegn"/>
          <w:color w:val="auto"/>
        </w:rPr>
        <w:br w:type="page"/>
      </w:r>
    </w:p>
    <w:p w:rsidR="009939A2" w:rsidRDefault="00286B26" w:rsidP="00F47A34">
      <w:pPr>
        <w:pStyle w:val="Overskrift1"/>
        <w:rPr>
          <w:rStyle w:val="Overskrift1Tegn"/>
          <w:color w:val="auto"/>
        </w:rPr>
      </w:pPr>
      <w:bookmarkStart w:id="27" w:name="_Toc387671275"/>
      <w:r w:rsidRPr="009805E3">
        <w:rPr>
          <w:rStyle w:val="Overskrift1Tegn"/>
          <w:color w:val="auto"/>
        </w:rPr>
        <w:t>Risiko</w:t>
      </w:r>
      <w:r w:rsidR="00F47A34">
        <w:rPr>
          <w:rStyle w:val="Overskrift1Tegn"/>
          <w:color w:val="auto"/>
        </w:rPr>
        <w:t>- og kapitalstyring</w:t>
      </w:r>
      <w:bookmarkEnd w:id="27"/>
    </w:p>
    <w:p w:rsidR="00A27780" w:rsidRDefault="009805E3" w:rsidP="009805E3">
      <w:r>
        <w:t xml:space="preserve">Sandnes Sparebanks årsrapport for 2013 (noter) har en fyldig og </w:t>
      </w:r>
      <w:r w:rsidR="00045A5A">
        <w:t>beskrivelse av gjennomføring og målsetninger med risikostyring i Sandnes Sparebank.</w:t>
      </w:r>
      <w:r w:rsidR="00A27780">
        <w:t xml:space="preserve"> </w:t>
      </w:r>
    </w:p>
    <w:p w:rsidR="00A27780" w:rsidRDefault="00A27780" w:rsidP="009805E3"/>
    <w:p w:rsidR="00286B26" w:rsidRPr="00BF5ABC" w:rsidRDefault="00286B26" w:rsidP="00286B26">
      <w:pPr>
        <w:rPr>
          <w:color w:val="FF0000"/>
        </w:rPr>
      </w:pPr>
    </w:p>
    <w:p w:rsidR="00434C3E" w:rsidRPr="00734804" w:rsidRDefault="00434C3E" w:rsidP="00F47A34">
      <w:pPr>
        <w:pStyle w:val="Overskrift2"/>
      </w:pPr>
      <w:bookmarkStart w:id="28" w:name="_Toc387671276"/>
      <w:r w:rsidRPr="00734804">
        <w:t>Overordnet</w:t>
      </w:r>
      <w:bookmarkEnd w:id="28"/>
    </w:p>
    <w:p w:rsidR="00434C3E" w:rsidRPr="00734804" w:rsidRDefault="00434C3E" w:rsidP="00434C3E">
      <w:pPr>
        <w:rPr>
          <w:color w:val="595959" w:themeColor="text1" w:themeTint="A6"/>
        </w:rPr>
      </w:pPr>
      <w:r w:rsidRPr="00734804">
        <w:rPr>
          <w:color w:val="595959" w:themeColor="text1" w:themeTint="A6"/>
        </w:rPr>
        <w:t>Risikostyring skal støtte opp omkring bank</w:t>
      </w:r>
      <w:r w:rsidR="00E5152E">
        <w:rPr>
          <w:color w:val="595959" w:themeColor="text1" w:themeTint="A6"/>
        </w:rPr>
        <w:t>ens visjon gjennom å underbygge</w:t>
      </w:r>
      <w:r w:rsidRPr="00734804">
        <w:rPr>
          <w:color w:val="595959" w:themeColor="text1" w:themeTint="A6"/>
        </w:rPr>
        <w:t xml:space="preserve"> </w:t>
      </w:r>
      <w:r w:rsidR="004560BD">
        <w:rPr>
          <w:color w:val="595959" w:themeColor="text1" w:themeTint="A6"/>
        </w:rPr>
        <w:t>bankens strategi, mål og verdier.</w:t>
      </w:r>
    </w:p>
    <w:p w:rsidR="00286B26" w:rsidRDefault="004560BD" w:rsidP="00286B26">
      <w:pPr>
        <w:rPr>
          <w:color w:val="595959" w:themeColor="text1" w:themeTint="A6"/>
        </w:rPr>
      </w:pPr>
      <w:r>
        <w:rPr>
          <w:color w:val="595959" w:themeColor="text1" w:themeTint="A6"/>
        </w:rPr>
        <w:t>Dette innebærer at risikostyring i Sandnes Sparebank er et v</w:t>
      </w:r>
      <w:r w:rsidR="004E43E2">
        <w:rPr>
          <w:color w:val="595959" w:themeColor="text1" w:themeTint="A6"/>
        </w:rPr>
        <w:t>esentlig element for at bankens strategiske målsetninger oppnås.</w:t>
      </w:r>
    </w:p>
    <w:p w:rsidR="004E43E2" w:rsidRDefault="004E43E2" w:rsidP="00286B26">
      <w:pPr>
        <w:rPr>
          <w:color w:val="595959" w:themeColor="text1" w:themeTint="A6"/>
        </w:rPr>
      </w:pPr>
    </w:p>
    <w:p w:rsidR="004E43E2" w:rsidRDefault="004E43E2" w:rsidP="00286B26">
      <w:pPr>
        <w:rPr>
          <w:color w:val="595959" w:themeColor="text1" w:themeTint="A6"/>
        </w:rPr>
      </w:pPr>
      <w:r>
        <w:rPr>
          <w:color w:val="595959" w:themeColor="text1" w:themeTint="A6"/>
        </w:rPr>
        <w:t>Bankens risk avdeling utarbeider regelmessige riskrapporter som dekker bankens ulike risik</w:t>
      </w:r>
      <w:r w:rsidR="00C76481">
        <w:rPr>
          <w:color w:val="595959" w:themeColor="text1" w:themeTint="A6"/>
        </w:rPr>
        <w:t>oområder. Rapportene</w:t>
      </w:r>
      <w:r>
        <w:rPr>
          <w:color w:val="595959" w:themeColor="text1" w:themeTint="A6"/>
        </w:rPr>
        <w:t xml:space="preserve"> underbygger bankens vedtatte risikoprofil. </w:t>
      </w:r>
    </w:p>
    <w:p w:rsidR="004E43E2" w:rsidRDefault="004E43E2" w:rsidP="00286B26">
      <w:pPr>
        <w:rPr>
          <w:color w:val="595959" w:themeColor="text1" w:themeTint="A6"/>
        </w:rPr>
      </w:pPr>
    </w:p>
    <w:p w:rsidR="004E43E2" w:rsidRDefault="004E43E2" w:rsidP="00286B26">
      <w:pPr>
        <w:rPr>
          <w:color w:val="595959" w:themeColor="text1" w:themeTint="A6"/>
        </w:rPr>
      </w:pPr>
      <w:r>
        <w:rPr>
          <w:color w:val="595959" w:themeColor="text1" w:themeTint="A6"/>
        </w:rPr>
        <w:t>På et overordnet nivå har banken definert følgende risikokategorier:</w:t>
      </w:r>
    </w:p>
    <w:p w:rsidR="00CB49EC" w:rsidRDefault="00CB49EC" w:rsidP="00286B26">
      <w:pPr>
        <w:rPr>
          <w:color w:val="595959" w:themeColor="text1" w:themeTint="A6"/>
        </w:rPr>
      </w:pPr>
    </w:p>
    <w:p w:rsidR="00CB49EC" w:rsidRDefault="00CB49EC" w:rsidP="00CB49EC">
      <w:pPr>
        <w:pStyle w:val="Bildetekst"/>
        <w:rPr>
          <w:color w:val="595959" w:themeColor="text1" w:themeTint="A6"/>
        </w:rPr>
      </w:pPr>
      <w:bookmarkStart w:id="29" w:name="_Toc387671316"/>
      <w:r>
        <w:t xml:space="preserve">Figur </w:t>
      </w:r>
      <w:r w:rsidR="00E42F82">
        <w:fldChar w:fldCharType="begin"/>
      </w:r>
      <w:r w:rsidR="00E42F82">
        <w:instrText xml:space="preserve"> SEQ Figur \* ARABIC </w:instrText>
      </w:r>
      <w:r w:rsidR="00E42F82">
        <w:fldChar w:fldCharType="separate"/>
      </w:r>
      <w:r w:rsidR="00B06252">
        <w:rPr>
          <w:noProof/>
        </w:rPr>
        <w:t>4</w:t>
      </w:r>
      <w:r w:rsidR="00E42F82">
        <w:rPr>
          <w:noProof/>
        </w:rPr>
        <w:fldChar w:fldCharType="end"/>
      </w:r>
      <w:r>
        <w:t xml:space="preserve"> Risikokategorier</w:t>
      </w:r>
      <w:bookmarkEnd w:id="29"/>
    </w:p>
    <w:p w:rsidR="004E43E2" w:rsidRDefault="004E43E2" w:rsidP="00286B26">
      <w:pPr>
        <w:rPr>
          <w:color w:val="595959" w:themeColor="text1" w:themeTint="A6"/>
        </w:rPr>
      </w:pPr>
    </w:p>
    <w:p w:rsidR="004E43E2" w:rsidRDefault="004E43E2" w:rsidP="00286B26">
      <w:pPr>
        <w:rPr>
          <w:color w:val="595959" w:themeColor="text1" w:themeTint="A6"/>
        </w:rPr>
      </w:pPr>
      <w:r>
        <w:rPr>
          <w:noProof/>
          <w:color w:val="595959" w:themeColor="text1" w:themeTint="A6"/>
          <w:lang w:eastAsia="nb-NO"/>
        </w:rPr>
        <w:drawing>
          <wp:inline distT="0" distB="0" distL="0" distR="0" wp14:anchorId="7EBF9159" wp14:editId="1637EE8F">
            <wp:extent cx="5486400" cy="3200400"/>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4E43E2" w:rsidRDefault="004E43E2" w:rsidP="00286B26">
      <w:pPr>
        <w:rPr>
          <w:color w:val="595959" w:themeColor="text1" w:themeTint="A6"/>
        </w:rPr>
      </w:pPr>
    </w:p>
    <w:p w:rsidR="004E43E2" w:rsidRDefault="00521109" w:rsidP="00286B26">
      <w:pPr>
        <w:rPr>
          <w:color w:val="595959" w:themeColor="text1" w:themeTint="A6"/>
        </w:rPr>
      </w:pPr>
      <w:r>
        <w:rPr>
          <w:color w:val="595959" w:themeColor="text1" w:themeTint="A6"/>
        </w:rPr>
        <w:t>For å oppnå en tilfredsstillende balanse mellom risiko og muligheter har styret fastsatt at banken på et overordnet nivå skal ha mål å opererer med en moderat risikoprofil. Risikoprofil fastsettes ut fra en vurdering av både eksponering samt kvaliteten på bank</w:t>
      </w:r>
      <w:r w:rsidR="00C76481">
        <w:rPr>
          <w:color w:val="595959" w:themeColor="text1" w:themeTint="A6"/>
        </w:rPr>
        <w:t>ens styring og kontroll av de ulike</w:t>
      </w:r>
      <w:r>
        <w:rPr>
          <w:color w:val="595959" w:themeColor="text1" w:themeTint="A6"/>
        </w:rPr>
        <w:t xml:space="preserve"> risikoen</w:t>
      </w:r>
      <w:r w:rsidR="00C76481">
        <w:rPr>
          <w:color w:val="595959" w:themeColor="text1" w:themeTint="A6"/>
        </w:rPr>
        <w:t>e</w:t>
      </w:r>
      <w:r>
        <w:rPr>
          <w:color w:val="595959" w:themeColor="text1" w:themeTint="A6"/>
        </w:rPr>
        <w:t xml:space="preserve">. På denne måten vurderes "reell" risiko. For å vurdere risikoprofilen vurderes "reell" risiko mot bankens kapital. </w:t>
      </w:r>
    </w:p>
    <w:p w:rsidR="004B53DC" w:rsidRDefault="004B53DC" w:rsidP="00286B26">
      <w:pPr>
        <w:rPr>
          <w:color w:val="595959" w:themeColor="text1" w:themeTint="A6"/>
        </w:rPr>
      </w:pPr>
    </w:p>
    <w:p w:rsidR="004B53DC" w:rsidRDefault="004B53DC" w:rsidP="00286B26">
      <w:pPr>
        <w:rPr>
          <w:color w:val="595959" w:themeColor="text1" w:themeTint="A6"/>
        </w:rPr>
      </w:pPr>
      <w:r>
        <w:rPr>
          <w:color w:val="595959" w:themeColor="text1" w:themeTint="A6"/>
        </w:rPr>
        <w:t>Konsernet har retningslinjer for vurdering av samlet kapitalbehov (ICAAP), I forbindelse med denne prosessen er både styre, lederg</w:t>
      </w:r>
      <w:r w:rsidR="00C76481">
        <w:rPr>
          <w:color w:val="595959" w:themeColor="text1" w:themeTint="A6"/>
        </w:rPr>
        <w:t>ruppe og konsernets</w:t>
      </w:r>
      <w:r>
        <w:rPr>
          <w:color w:val="595959" w:themeColor="text1" w:themeTint="A6"/>
        </w:rPr>
        <w:t xml:space="preserve"> ulike </w:t>
      </w:r>
      <w:r w:rsidR="00C76481">
        <w:rPr>
          <w:color w:val="595959" w:themeColor="text1" w:themeTint="A6"/>
        </w:rPr>
        <w:t xml:space="preserve">avdelinger  involvert. </w:t>
      </w:r>
      <w:r w:rsidR="00C343BA">
        <w:rPr>
          <w:color w:val="595959" w:themeColor="text1" w:themeTint="A6"/>
        </w:rPr>
        <w:t xml:space="preserve">Prosessen gjennomføres årlig, men vil bli gjennomført ved behov dersom det er særlige forhold, interne eller eksterne, tilsier det. Prosess og resultater gjennomgås både med "risikoeiere" på avdelingsnivå, ledergruppe og bankens styre før den oversendes Finanstilsynet. I tillegg foretar internrevisjon en kvalitetskontroll av både prosess av resultater. Oppsummering av denne kvalitetskontrollen oversendes også Finanstilsynet. </w:t>
      </w:r>
    </w:p>
    <w:p w:rsidR="00C343BA" w:rsidRDefault="00C343BA" w:rsidP="00286B26">
      <w:pPr>
        <w:rPr>
          <w:color w:val="595959" w:themeColor="text1" w:themeTint="A6"/>
        </w:rPr>
      </w:pPr>
    </w:p>
    <w:p w:rsidR="00C343BA" w:rsidRPr="00734804" w:rsidRDefault="00C343BA" w:rsidP="00286B26">
      <w:pPr>
        <w:rPr>
          <w:color w:val="595959" w:themeColor="text1" w:themeTint="A6"/>
        </w:rPr>
      </w:pPr>
      <w:r>
        <w:rPr>
          <w:color w:val="595959" w:themeColor="text1" w:themeTint="A6"/>
        </w:rPr>
        <w:t>ICAAP beskriver kapitalbehovet for bankens ulik</w:t>
      </w:r>
      <w:r w:rsidR="00C76481">
        <w:rPr>
          <w:color w:val="595959" w:themeColor="text1" w:themeTint="A6"/>
        </w:rPr>
        <w:t>e risikoer (ikke bare k</w:t>
      </w:r>
      <w:r w:rsidR="00E5152E">
        <w:rPr>
          <w:color w:val="595959" w:themeColor="text1" w:themeTint="A6"/>
        </w:rPr>
        <w:t>reditt-,</w:t>
      </w:r>
      <w:r w:rsidR="00C76481">
        <w:rPr>
          <w:color w:val="595959" w:themeColor="text1" w:themeTint="A6"/>
        </w:rPr>
        <w:t xml:space="preserve"> m</w:t>
      </w:r>
      <w:r>
        <w:rPr>
          <w:color w:val="595959" w:themeColor="text1" w:themeTint="A6"/>
        </w:rPr>
        <w:t>arked</w:t>
      </w:r>
      <w:r w:rsidR="00C76481">
        <w:rPr>
          <w:color w:val="595959" w:themeColor="text1" w:themeTint="A6"/>
        </w:rPr>
        <w:t>s- og o</w:t>
      </w:r>
      <w:r>
        <w:rPr>
          <w:color w:val="595959" w:themeColor="text1" w:themeTint="A6"/>
        </w:rPr>
        <w:t>perasjonell risiko), både ut fra bankens nåværende situasjon, men også slik banken vurdere det frem i tid. I tillegg vurderes kapitalbehovet ut fra situasjoner basert på mulige negative hendelser i (interne og / eller eksterne).</w:t>
      </w:r>
    </w:p>
    <w:p w:rsidR="00286B26" w:rsidRPr="00734804" w:rsidRDefault="00286B26" w:rsidP="00286B26">
      <w:pPr>
        <w:rPr>
          <w:color w:val="595959" w:themeColor="text1" w:themeTint="A6"/>
        </w:rPr>
      </w:pPr>
    </w:p>
    <w:p w:rsidR="00F976A8" w:rsidRPr="00734804" w:rsidRDefault="00F976A8" w:rsidP="00286B26">
      <w:pPr>
        <w:rPr>
          <w:color w:val="595959" w:themeColor="text1" w:themeTint="A6"/>
        </w:rPr>
      </w:pPr>
    </w:p>
    <w:bookmarkEnd w:id="26"/>
    <w:p w:rsidR="000761BE" w:rsidRPr="00BF5ABC" w:rsidRDefault="000761BE" w:rsidP="00F65574">
      <w:pPr>
        <w:rPr>
          <w:color w:val="FF0000"/>
        </w:rPr>
      </w:pPr>
    </w:p>
    <w:p w:rsidR="00D60881" w:rsidRPr="00BF5ABC" w:rsidRDefault="00D60881" w:rsidP="00F65574">
      <w:pPr>
        <w:rPr>
          <w:color w:val="FF0000"/>
        </w:rPr>
      </w:pPr>
    </w:p>
    <w:p w:rsidR="009939A2" w:rsidRPr="00BF5ABC" w:rsidRDefault="009939A2" w:rsidP="000761BE">
      <w:pPr>
        <w:spacing w:line="360" w:lineRule="auto"/>
        <w:rPr>
          <w:rFonts w:cs="Arial"/>
          <w:color w:val="FF0000"/>
        </w:rPr>
      </w:pPr>
    </w:p>
    <w:p w:rsidR="000418C8" w:rsidRPr="00BF5ABC" w:rsidRDefault="000418C8">
      <w:pPr>
        <w:spacing w:after="200" w:line="276" w:lineRule="auto"/>
        <w:rPr>
          <w:b/>
          <w:color w:val="FF0000"/>
          <w:szCs w:val="18"/>
        </w:rPr>
      </w:pPr>
      <w:bookmarkStart w:id="30" w:name="_Toc271617075"/>
      <w:r w:rsidRPr="00BF5ABC">
        <w:rPr>
          <w:color w:val="FF0000"/>
        </w:rPr>
        <w:br w:type="page"/>
      </w:r>
    </w:p>
    <w:p w:rsidR="004243E2" w:rsidRDefault="002075CC" w:rsidP="00415978">
      <w:pPr>
        <w:pStyle w:val="Overskrift2"/>
      </w:pPr>
      <w:bookmarkStart w:id="31" w:name="_Toc387671277"/>
      <w:r>
        <w:t>Kredittrisiko</w:t>
      </w:r>
      <w:bookmarkEnd w:id="31"/>
    </w:p>
    <w:p w:rsidR="002075CC" w:rsidRDefault="002075CC" w:rsidP="002075CC">
      <w:r>
        <w:t>Kredittrisiko er Sandnes Sparebank sin største risiko. Konsernet eksponeres mot kredittrisiko gjennom ordinær utlånsvirksomhet, men også</w:t>
      </w:r>
      <w:r w:rsidR="00DD4402">
        <w:t xml:space="preserve"> gjennom </w:t>
      </w:r>
      <w:r>
        <w:t xml:space="preserve"> plassering av likviditet </w:t>
      </w:r>
      <w:r w:rsidR="00334713">
        <w:t>i obligasjoner og sertifikater, kortsiktige utlån til andre banker eller eksponering som følge</w:t>
      </w:r>
      <w:r w:rsidR="00DD4402">
        <w:t xml:space="preserve"> av finansielle derivater</w:t>
      </w:r>
      <w:r w:rsidR="00334713">
        <w:t xml:space="preserve"> inngått for å reduser konsernets rente- eller valutarisiko. </w:t>
      </w:r>
    </w:p>
    <w:p w:rsidR="00081709" w:rsidRDefault="00081709" w:rsidP="002075CC"/>
    <w:p w:rsidR="00081709" w:rsidRDefault="00081709" w:rsidP="002075CC">
      <w:r>
        <w:t>Konsernet har etablert en egen kredittpolicy som skal sikre at bankens kundeportefølje har en akseptabel risikoprofil samtidig som porteføljen gir lønnsomhet etter forventet tap i et langsiktig perspektiv.</w:t>
      </w:r>
    </w:p>
    <w:p w:rsidR="00081709" w:rsidRDefault="00081709" w:rsidP="002075CC"/>
    <w:p w:rsidR="00081709" w:rsidRDefault="00081709" w:rsidP="002075CC">
      <w:r>
        <w:t xml:space="preserve">Konsernets geografiske nedslagsfelt ("hjemmemarked") er definert til 7 kommuner på Nord-Jæren i Rogaland. Disse 7 kommunene er definert som Sandnes Kommune med nabo kommuner. For SMB segmentet er det i tillegg definert 2 kommuner i Rogaland (Hå og </w:t>
      </w:r>
      <w:proofErr w:type="spellStart"/>
      <w:r>
        <w:t>Bjerkheim</w:t>
      </w:r>
      <w:proofErr w:type="spellEnd"/>
      <w:r>
        <w:t xml:space="preserve">) som </w:t>
      </w:r>
      <w:r w:rsidR="00DD4402">
        <w:t xml:space="preserve">er å anse som "hjemmemarked"). </w:t>
      </w:r>
      <w:r w:rsidR="00226092">
        <w:t xml:space="preserve"> I tillegg til bank</w:t>
      </w:r>
      <w:r w:rsidR="00DD4402">
        <w:t>ens "hjemmemarked" har banken en</w:t>
      </w:r>
      <w:r w:rsidR="00226092">
        <w:t xml:space="preserve"> portefølje i Oslo som forvaltes. </w:t>
      </w:r>
    </w:p>
    <w:p w:rsidR="00226092" w:rsidRDefault="00226092" w:rsidP="002075CC"/>
    <w:p w:rsidR="00226092" w:rsidRDefault="00226092" w:rsidP="002075CC">
      <w:r>
        <w:t>Risikoutvik</w:t>
      </w:r>
      <w:r w:rsidR="00DD4402">
        <w:t xml:space="preserve">ling i utlånsporteføljen måles </w:t>
      </w:r>
      <w:r>
        <w:t xml:space="preserve">og overvåkes blant annet gjennom beregning, og </w:t>
      </w:r>
      <w:r w:rsidR="00DD4402">
        <w:t xml:space="preserve">overvåking av </w:t>
      </w:r>
      <w:r>
        <w:t xml:space="preserve">utvikling i  sannsynlighet for mislighold. Banken bruker egenutviklede modeller for </w:t>
      </w:r>
      <w:proofErr w:type="spellStart"/>
      <w:r>
        <w:t>misligholdssannsynlighet</w:t>
      </w:r>
      <w:proofErr w:type="spellEnd"/>
      <w:r>
        <w:t xml:space="preserve"> for PM porteføljen, mens for NL porteføljen brukes modeller i samarbeid med andre banker av tilnærmet samme størrelse. (</w:t>
      </w:r>
      <w:r w:rsidR="00DD4402">
        <w:t>Begge</w:t>
      </w:r>
      <w:r>
        <w:t xml:space="preserve"> modellene valideres årlig for å vurdere hvor gode de er til predikerer mislighold). </w:t>
      </w:r>
      <w:proofErr w:type="spellStart"/>
      <w:r>
        <w:t>Misligholdssansynlighet</w:t>
      </w:r>
      <w:proofErr w:type="spellEnd"/>
      <w:r>
        <w:t xml:space="preserve"> brukes både i forbindelse med kredittgivning, prising og for vurdering av behov for nedskriving på grupper. Banken har, i samarbeid med andre banker, startet </w:t>
      </w:r>
      <w:r w:rsidR="00BD24B6">
        <w:t xml:space="preserve">opp et prosjekt for </w:t>
      </w:r>
      <w:r w:rsidR="00DD4402">
        <w:t xml:space="preserve">å </w:t>
      </w:r>
      <w:r w:rsidR="00BD24B6">
        <w:t xml:space="preserve">utarbeide modeller for LGD (tapsgrad gitt mislighold) og EAD (eksponering gitt mislighold) basert på eget datagrunnlag. Etablering av disse modellene innebærer at forventet tap, og utvikling i forventet </w:t>
      </w:r>
      <w:r w:rsidR="00DD4402">
        <w:t xml:space="preserve">tap i bankens portefølje av utlån  </w:t>
      </w:r>
      <w:r w:rsidR="00BD24B6">
        <w:t>kan beregnes og overvåkes</w:t>
      </w:r>
      <w:r w:rsidR="00DD4402">
        <w:t xml:space="preserve"> på en enda bedre måte</w:t>
      </w:r>
      <w:r w:rsidR="00BD24B6">
        <w:t>. Dette medfører dermed at ulike korrigerende tiltak kan iverksettes på et tidligere tidspunkt enn i dag. Vi forventer at modellene blir ferdigstilt i løpet av 2014.</w:t>
      </w:r>
    </w:p>
    <w:p w:rsidR="00BD24B6" w:rsidRDefault="00BD24B6" w:rsidP="002075CC"/>
    <w:p w:rsidR="00BD24B6" w:rsidRDefault="00BD24B6" w:rsidP="002075CC">
      <w:r>
        <w:t xml:space="preserve">I forhold til kredittrisiko gjennom plassering av likviditet i obligasjoner og sertifikater </w:t>
      </w:r>
      <w:r w:rsidR="00C74A06">
        <w:t xml:space="preserve">vurderes og overvåkes porteføljen ut fra vurdering av </w:t>
      </w:r>
      <w:proofErr w:type="spellStart"/>
      <w:r w:rsidR="00C74A06">
        <w:t>misligholdssansynlighet</w:t>
      </w:r>
      <w:proofErr w:type="spellEnd"/>
      <w:r w:rsidR="00C74A06">
        <w:t xml:space="preserve"> basert på </w:t>
      </w:r>
      <w:proofErr w:type="spellStart"/>
      <w:r w:rsidR="00C74A06">
        <w:t>rating</w:t>
      </w:r>
      <w:proofErr w:type="spellEnd"/>
      <w:r w:rsidR="00C74A06">
        <w:t xml:space="preserve"> på de ulike pa</w:t>
      </w:r>
      <w:r w:rsidR="00334713">
        <w:t xml:space="preserve">pirene likviditet plasseres i. </w:t>
      </w:r>
      <w:proofErr w:type="spellStart"/>
      <w:r w:rsidR="00334713">
        <w:t>Rating</w:t>
      </w:r>
      <w:proofErr w:type="spellEnd"/>
      <w:r w:rsidR="00334713">
        <w:t xml:space="preserve"> foretas ikke av Sandnes Sparebank, men offisi</w:t>
      </w:r>
      <w:r w:rsidR="00DD4402">
        <w:t xml:space="preserve">ell- eller </w:t>
      </w:r>
      <w:proofErr w:type="spellStart"/>
      <w:r w:rsidR="00DD4402">
        <w:t>skyggerating</w:t>
      </w:r>
      <w:proofErr w:type="spellEnd"/>
      <w:r w:rsidR="00DD4402">
        <w:t xml:space="preserve"> fra etablert finansforetak innhentes og benyttes</w:t>
      </w:r>
      <w:r w:rsidR="00334713">
        <w:t>. I forhold til kredittrisiko</w:t>
      </w:r>
      <w:r w:rsidR="00807DE7">
        <w:t xml:space="preserve"> som følge av kortsiktig utlån til andre banker ansees denne som lav ettersom det er samme rammer både på størrelse, men også løpetid. I tillegg er det krav til "tilfredsstillende" </w:t>
      </w:r>
      <w:proofErr w:type="spellStart"/>
      <w:r w:rsidR="00807DE7">
        <w:t>rating</w:t>
      </w:r>
      <w:proofErr w:type="spellEnd"/>
      <w:r w:rsidR="00807DE7">
        <w:t xml:space="preserve">. Konsernet stiller også krav om CSA avtaler (Credit Support </w:t>
      </w:r>
      <w:proofErr w:type="spellStart"/>
      <w:r w:rsidR="00807DE7">
        <w:t>Annex</w:t>
      </w:r>
      <w:proofErr w:type="spellEnd"/>
      <w:r w:rsidR="00807DE7">
        <w:t xml:space="preserve">) før det inngås derivathandel med motparter. </w:t>
      </w:r>
      <w:r w:rsidR="00DD4402">
        <w:t xml:space="preserve">Eksponering kommenteres under </w:t>
      </w:r>
      <w:proofErr w:type="spellStart"/>
      <w:r w:rsidR="00DD4402">
        <w:t>l</w:t>
      </w:r>
      <w:r w:rsidR="00415978">
        <w:t>ikvidietetsrisko</w:t>
      </w:r>
      <w:proofErr w:type="spellEnd"/>
      <w:r w:rsidR="00415978">
        <w:t>.</w:t>
      </w:r>
    </w:p>
    <w:p w:rsidR="00415978" w:rsidRDefault="00415978" w:rsidP="002075CC"/>
    <w:p w:rsidR="00415978" w:rsidRDefault="00415978" w:rsidP="002075CC"/>
    <w:p w:rsidR="00184993" w:rsidRDefault="00184993">
      <w:pPr>
        <w:spacing w:after="200" w:line="276" w:lineRule="auto"/>
        <w:rPr>
          <w:b/>
          <w:szCs w:val="18"/>
        </w:rPr>
      </w:pPr>
      <w:r>
        <w:br w:type="page"/>
      </w:r>
    </w:p>
    <w:p w:rsidR="00415978" w:rsidRDefault="00415978" w:rsidP="00415978">
      <w:pPr>
        <w:pStyle w:val="Overskrift3"/>
      </w:pPr>
      <w:bookmarkStart w:id="32" w:name="_Toc387671278"/>
      <w:r>
        <w:t>Kreditteksponering</w:t>
      </w:r>
      <w:bookmarkEnd w:id="32"/>
    </w:p>
    <w:p w:rsidR="00415978" w:rsidRPr="00415978" w:rsidRDefault="00415978" w:rsidP="00415978"/>
    <w:p w:rsidR="002075CC" w:rsidRDefault="00415978" w:rsidP="002075CC">
      <w:r>
        <w:t xml:space="preserve">Tabellen under viser konsernets utlånfordelt på ulike </w:t>
      </w:r>
      <w:r w:rsidR="00A71DF3">
        <w:t>kundegrupper:</w:t>
      </w:r>
    </w:p>
    <w:p w:rsidR="00CB49EC" w:rsidRDefault="00CB49EC" w:rsidP="002075CC"/>
    <w:p w:rsidR="00CB49EC" w:rsidRDefault="00CB49EC" w:rsidP="00CB49EC">
      <w:pPr>
        <w:pStyle w:val="Bildetekst"/>
      </w:pPr>
      <w:bookmarkStart w:id="33" w:name="_Toc387671305"/>
      <w:r>
        <w:t xml:space="preserve">Tabell </w:t>
      </w:r>
      <w:r w:rsidR="00E42F82">
        <w:fldChar w:fldCharType="begin"/>
      </w:r>
      <w:r w:rsidR="00E42F82">
        <w:instrText xml:space="preserve"> SEQ Tabell \* ARABIC </w:instrText>
      </w:r>
      <w:r w:rsidR="00E42F82">
        <w:fldChar w:fldCharType="separate"/>
      </w:r>
      <w:r>
        <w:rPr>
          <w:noProof/>
        </w:rPr>
        <w:t>7</w:t>
      </w:r>
      <w:r w:rsidR="00E42F82">
        <w:rPr>
          <w:noProof/>
        </w:rPr>
        <w:fldChar w:fldCharType="end"/>
      </w:r>
      <w:r>
        <w:t xml:space="preserve"> Kreditteksponering - kundegrupper</w:t>
      </w:r>
      <w:bookmarkEnd w:id="33"/>
    </w:p>
    <w:p w:rsidR="00A71DF3" w:rsidRDefault="00A71DF3" w:rsidP="002075CC"/>
    <w:tbl>
      <w:tblPr>
        <w:tblW w:w="7840" w:type="dxa"/>
        <w:tblInd w:w="70" w:type="dxa"/>
        <w:tblCellMar>
          <w:left w:w="70" w:type="dxa"/>
          <w:right w:w="70" w:type="dxa"/>
        </w:tblCellMar>
        <w:tblLook w:val="04A0" w:firstRow="1" w:lastRow="0" w:firstColumn="1" w:lastColumn="0" w:noHBand="0" w:noVBand="1"/>
      </w:tblPr>
      <w:tblGrid>
        <w:gridCol w:w="3056"/>
        <w:gridCol w:w="1216"/>
        <w:gridCol w:w="1216"/>
        <w:gridCol w:w="1136"/>
        <w:gridCol w:w="1216"/>
      </w:tblGrid>
      <w:tr w:rsidR="006E3590" w:rsidRPr="006E3590" w:rsidTr="006E3590">
        <w:trPr>
          <w:trHeight w:val="600"/>
        </w:trPr>
        <w:tc>
          <w:tcPr>
            <w:tcW w:w="3056" w:type="dxa"/>
            <w:tcBorders>
              <w:top w:val="nil"/>
              <w:left w:val="nil"/>
              <w:bottom w:val="single" w:sz="4" w:space="0" w:color="auto"/>
              <w:right w:val="nil"/>
            </w:tcBorders>
            <w:shd w:val="clear" w:color="000000" w:fill="D9D9D9"/>
            <w:noWrap/>
            <w:vAlign w:val="bottom"/>
            <w:hideMark/>
          </w:tcPr>
          <w:p w:rsidR="006E3590" w:rsidRPr="006E3590" w:rsidRDefault="006E3590" w:rsidP="006E3590">
            <w:pPr>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Kundegrupper</w:t>
            </w:r>
          </w:p>
        </w:tc>
        <w:tc>
          <w:tcPr>
            <w:tcW w:w="1216" w:type="dxa"/>
            <w:tcBorders>
              <w:top w:val="nil"/>
              <w:left w:val="nil"/>
              <w:bottom w:val="single" w:sz="4" w:space="0" w:color="auto"/>
              <w:right w:val="nil"/>
            </w:tcBorders>
            <w:shd w:val="clear" w:color="000000" w:fill="D9D9D9"/>
            <w:noWrap/>
            <w:vAlign w:val="bottom"/>
            <w:hideMark/>
          </w:tcPr>
          <w:p w:rsidR="006E3590" w:rsidRPr="006E3590" w:rsidRDefault="006E3590" w:rsidP="006E3590">
            <w:pPr>
              <w:jc w:val="center"/>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 xml:space="preserve">Utlån </w:t>
            </w:r>
          </w:p>
        </w:tc>
        <w:tc>
          <w:tcPr>
            <w:tcW w:w="1216" w:type="dxa"/>
            <w:tcBorders>
              <w:top w:val="nil"/>
              <w:left w:val="nil"/>
              <w:bottom w:val="single" w:sz="4" w:space="0" w:color="auto"/>
              <w:right w:val="nil"/>
            </w:tcBorders>
            <w:shd w:val="clear" w:color="000000" w:fill="D9D9D9"/>
            <w:noWrap/>
            <w:vAlign w:val="bottom"/>
            <w:hideMark/>
          </w:tcPr>
          <w:p w:rsidR="006E3590" w:rsidRPr="006E3590" w:rsidRDefault="006E3590" w:rsidP="006E3590">
            <w:pPr>
              <w:jc w:val="center"/>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Garantier</w:t>
            </w:r>
          </w:p>
        </w:tc>
        <w:tc>
          <w:tcPr>
            <w:tcW w:w="1136" w:type="dxa"/>
            <w:tcBorders>
              <w:top w:val="nil"/>
              <w:left w:val="nil"/>
              <w:bottom w:val="single" w:sz="4" w:space="0" w:color="auto"/>
              <w:right w:val="nil"/>
            </w:tcBorders>
            <w:shd w:val="clear" w:color="000000" w:fill="D9D9D9"/>
            <w:vAlign w:val="bottom"/>
            <w:hideMark/>
          </w:tcPr>
          <w:p w:rsidR="006E3590" w:rsidRPr="006E3590" w:rsidRDefault="006E3590" w:rsidP="006E3590">
            <w:pPr>
              <w:jc w:val="center"/>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Ubenyttet kreditt</w:t>
            </w:r>
          </w:p>
        </w:tc>
        <w:tc>
          <w:tcPr>
            <w:tcW w:w="1216" w:type="dxa"/>
            <w:tcBorders>
              <w:top w:val="nil"/>
              <w:left w:val="nil"/>
              <w:bottom w:val="single" w:sz="4" w:space="0" w:color="auto"/>
              <w:right w:val="nil"/>
            </w:tcBorders>
            <w:shd w:val="clear" w:color="000000" w:fill="D9D9D9"/>
            <w:noWrap/>
            <w:vAlign w:val="bottom"/>
            <w:hideMark/>
          </w:tcPr>
          <w:p w:rsidR="006E3590" w:rsidRPr="006E3590" w:rsidRDefault="006E3590" w:rsidP="006E3590">
            <w:pPr>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Sum</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eastAsia="Times New Roman" w:cs="Arial"/>
                <w:color w:val="000000"/>
                <w:szCs w:val="18"/>
                <w:lang w:eastAsia="nb-NO"/>
              </w:rPr>
            </w:pPr>
            <w:r w:rsidRPr="006E3590">
              <w:rPr>
                <w:rFonts w:eastAsia="Times New Roman" w:cs="Arial"/>
                <w:color w:val="000000"/>
                <w:szCs w:val="18"/>
                <w:lang w:eastAsia="nb-NO"/>
              </w:rPr>
              <w:t>Jord- og skogbruk</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270.567</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1.981</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31.118</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303.666</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eastAsia="Times New Roman" w:cs="Arial"/>
                <w:color w:val="000000"/>
                <w:szCs w:val="18"/>
                <w:lang w:eastAsia="nb-NO"/>
              </w:rPr>
            </w:pPr>
            <w:r w:rsidRPr="006E3590">
              <w:rPr>
                <w:rFonts w:eastAsia="Times New Roman" w:cs="Arial"/>
                <w:color w:val="000000"/>
                <w:szCs w:val="18"/>
                <w:lang w:eastAsia="nb-NO"/>
              </w:rPr>
              <w:t>Fiske og fangst</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4.746</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1.500</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1.567</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7.813</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eastAsia="Times New Roman" w:cs="Arial"/>
                <w:color w:val="000000"/>
                <w:szCs w:val="18"/>
                <w:lang w:eastAsia="nb-NO"/>
              </w:rPr>
            </w:pPr>
            <w:r w:rsidRPr="006E3590">
              <w:rPr>
                <w:rFonts w:eastAsia="Times New Roman" w:cs="Arial"/>
                <w:color w:val="000000"/>
                <w:szCs w:val="18"/>
                <w:lang w:eastAsia="nb-NO"/>
              </w:rPr>
              <w:t>Bygge- og anleggsvirksomhet</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1.360.182</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338.197</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433.052</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2.131.431</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eastAsia="Times New Roman" w:cs="Arial"/>
                <w:color w:val="000000"/>
                <w:szCs w:val="18"/>
                <w:lang w:eastAsia="nb-NO"/>
              </w:rPr>
            </w:pPr>
            <w:r w:rsidRPr="006E3590">
              <w:rPr>
                <w:rFonts w:eastAsia="Times New Roman" w:cs="Arial"/>
                <w:color w:val="000000"/>
                <w:szCs w:val="18"/>
                <w:lang w:eastAsia="nb-NO"/>
              </w:rPr>
              <w:t>Industri</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413.572</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77.097</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66.441</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557.110</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eastAsia="Times New Roman" w:cs="Arial"/>
                <w:color w:val="000000"/>
                <w:szCs w:val="18"/>
                <w:lang w:eastAsia="nb-NO"/>
              </w:rPr>
            </w:pPr>
            <w:r w:rsidRPr="006E3590">
              <w:rPr>
                <w:rFonts w:eastAsia="Times New Roman" w:cs="Arial"/>
                <w:color w:val="000000"/>
                <w:szCs w:val="18"/>
                <w:lang w:eastAsia="nb-NO"/>
              </w:rPr>
              <w:t>Olje og energi</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204.284</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0</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70.219</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274.503</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eastAsia="Times New Roman" w:cs="Arial"/>
                <w:color w:val="000000"/>
                <w:szCs w:val="18"/>
                <w:lang w:eastAsia="nb-NO"/>
              </w:rPr>
            </w:pPr>
            <w:r w:rsidRPr="006E3590">
              <w:rPr>
                <w:rFonts w:eastAsia="Times New Roman" w:cs="Arial"/>
                <w:color w:val="000000"/>
                <w:szCs w:val="18"/>
                <w:lang w:eastAsia="nb-NO"/>
              </w:rPr>
              <w:t>Varehandel</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351.833</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88.365</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148.404</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588.602</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eastAsia="Times New Roman" w:cs="Arial"/>
                <w:color w:val="000000"/>
                <w:szCs w:val="18"/>
                <w:lang w:eastAsia="nb-NO"/>
              </w:rPr>
            </w:pPr>
            <w:r w:rsidRPr="006E3590">
              <w:rPr>
                <w:rFonts w:eastAsia="Times New Roman" w:cs="Arial"/>
                <w:color w:val="000000"/>
                <w:szCs w:val="18"/>
                <w:lang w:eastAsia="nb-NO"/>
              </w:rPr>
              <w:t>Hotell- og restaurantdrift</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47.430</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5.818</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4.733</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57.981</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eastAsia="Times New Roman" w:cs="Arial"/>
                <w:color w:val="000000"/>
                <w:szCs w:val="18"/>
                <w:lang w:eastAsia="nb-NO"/>
              </w:rPr>
            </w:pPr>
            <w:r w:rsidRPr="006E3590">
              <w:rPr>
                <w:rFonts w:eastAsia="Times New Roman" w:cs="Arial"/>
                <w:color w:val="000000"/>
                <w:szCs w:val="18"/>
                <w:lang w:eastAsia="nb-NO"/>
              </w:rPr>
              <w:t>Transport og lagring</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135.424</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25.346</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31.283</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192.053</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eastAsia="Times New Roman" w:cs="Arial"/>
                <w:color w:val="000000"/>
                <w:szCs w:val="18"/>
                <w:lang w:eastAsia="nb-NO"/>
              </w:rPr>
            </w:pPr>
            <w:r w:rsidRPr="006E3590">
              <w:rPr>
                <w:rFonts w:eastAsia="Times New Roman" w:cs="Arial"/>
                <w:color w:val="000000"/>
                <w:szCs w:val="18"/>
                <w:lang w:eastAsia="nb-NO"/>
              </w:rPr>
              <w:t>Offentlig og privat tjenesteyting</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1.344.303</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114.588</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206.550</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1.665.441</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eastAsia="Times New Roman" w:cs="Arial"/>
                <w:color w:val="000000"/>
                <w:szCs w:val="18"/>
                <w:lang w:eastAsia="nb-NO"/>
              </w:rPr>
            </w:pPr>
            <w:r w:rsidRPr="006E3590">
              <w:rPr>
                <w:rFonts w:eastAsia="Times New Roman" w:cs="Arial"/>
                <w:color w:val="000000"/>
                <w:szCs w:val="18"/>
                <w:lang w:eastAsia="nb-NO"/>
              </w:rPr>
              <w:t>Eiendomsdrift</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3.980.832</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124.153</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127.311</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4.232.296</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eastAsia="Times New Roman" w:cs="Arial"/>
                <w:color w:val="000000"/>
                <w:szCs w:val="18"/>
                <w:lang w:eastAsia="nb-NO"/>
              </w:rPr>
            </w:pPr>
            <w:r w:rsidRPr="006E3590">
              <w:rPr>
                <w:rFonts w:eastAsia="Times New Roman" w:cs="Arial"/>
                <w:color w:val="000000"/>
                <w:szCs w:val="18"/>
                <w:lang w:eastAsia="nb-NO"/>
              </w:rPr>
              <w:t>Andre kundegrupper</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103.006</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6.042</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24.413</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133.461</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eastAsia="Times New Roman" w:cs="Arial"/>
                <w:color w:val="000000"/>
                <w:szCs w:val="18"/>
                <w:lang w:eastAsia="nb-NO"/>
              </w:rPr>
            </w:pPr>
            <w:r w:rsidRPr="006E3590">
              <w:rPr>
                <w:rFonts w:eastAsia="Times New Roman" w:cs="Arial"/>
                <w:color w:val="000000"/>
                <w:szCs w:val="18"/>
                <w:lang w:eastAsia="nb-NO"/>
              </w:rPr>
              <w:t xml:space="preserve">Personkunder </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15.217.936</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22.885</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2.327.155</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17.567.976</w:t>
            </w:r>
          </w:p>
        </w:tc>
      </w:tr>
      <w:tr w:rsidR="006E3590" w:rsidRPr="006E3590" w:rsidTr="006E3590">
        <w:trPr>
          <w:trHeight w:val="300"/>
        </w:trPr>
        <w:tc>
          <w:tcPr>
            <w:tcW w:w="3056" w:type="dxa"/>
            <w:tcBorders>
              <w:top w:val="single" w:sz="4" w:space="0" w:color="auto"/>
              <w:left w:val="nil"/>
              <w:bottom w:val="single" w:sz="4" w:space="0" w:color="auto"/>
              <w:right w:val="nil"/>
            </w:tcBorders>
            <w:shd w:val="clear" w:color="000000" w:fill="FFFFFF"/>
            <w:noWrap/>
            <w:vAlign w:val="bottom"/>
            <w:hideMark/>
          </w:tcPr>
          <w:p w:rsidR="006E3590" w:rsidRPr="006E3590" w:rsidRDefault="006E3590" w:rsidP="006E3590">
            <w:pPr>
              <w:rPr>
                <w:rFonts w:eastAsia="Times New Roman" w:cs="Arial"/>
                <w:b/>
                <w:bCs/>
                <w:color w:val="000000"/>
                <w:szCs w:val="18"/>
                <w:lang w:eastAsia="nb-NO"/>
              </w:rPr>
            </w:pPr>
            <w:r w:rsidRPr="006E3590">
              <w:rPr>
                <w:rFonts w:eastAsia="Times New Roman" w:cs="Arial"/>
                <w:b/>
                <w:bCs/>
                <w:color w:val="000000"/>
                <w:szCs w:val="18"/>
                <w:lang w:eastAsia="nb-NO"/>
              </w:rPr>
              <w:t>Sum</w:t>
            </w:r>
          </w:p>
        </w:tc>
        <w:tc>
          <w:tcPr>
            <w:tcW w:w="1216" w:type="dxa"/>
            <w:tcBorders>
              <w:top w:val="single" w:sz="4" w:space="0" w:color="auto"/>
              <w:left w:val="nil"/>
              <w:bottom w:val="single" w:sz="4" w:space="0" w:color="auto"/>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23.434.115</w:t>
            </w:r>
          </w:p>
        </w:tc>
        <w:tc>
          <w:tcPr>
            <w:tcW w:w="1216" w:type="dxa"/>
            <w:tcBorders>
              <w:top w:val="single" w:sz="4" w:space="0" w:color="auto"/>
              <w:left w:val="nil"/>
              <w:bottom w:val="single" w:sz="4" w:space="0" w:color="auto"/>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805.972</w:t>
            </w:r>
          </w:p>
        </w:tc>
        <w:tc>
          <w:tcPr>
            <w:tcW w:w="1136" w:type="dxa"/>
            <w:tcBorders>
              <w:top w:val="single" w:sz="4" w:space="0" w:color="auto"/>
              <w:left w:val="nil"/>
              <w:bottom w:val="single" w:sz="4" w:space="0" w:color="auto"/>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3.472.246</w:t>
            </w:r>
          </w:p>
        </w:tc>
        <w:tc>
          <w:tcPr>
            <w:tcW w:w="1216" w:type="dxa"/>
            <w:tcBorders>
              <w:top w:val="single" w:sz="4" w:space="0" w:color="auto"/>
              <w:left w:val="nil"/>
              <w:bottom w:val="single" w:sz="4" w:space="0" w:color="auto"/>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27.712.333</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eastAsia="Times New Roman" w:cs="Arial"/>
                <w:b/>
                <w:bCs/>
                <w:color w:val="000000"/>
                <w:szCs w:val="18"/>
                <w:lang w:eastAsia="nb-NO"/>
              </w:rPr>
            </w:pPr>
            <w:r w:rsidRPr="006E3590">
              <w:rPr>
                <w:rFonts w:eastAsia="Times New Roman" w:cs="Arial"/>
                <w:b/>
                <w:bCs/>
                <w:color w:val="000000"/>
                <w:szCs w:val="18"/>
                <w:lang w:eastAsia="nb-NO"/>
              </w:rPr>
              <w:t> </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 </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 </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 </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 </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Individuelle nedskrivinger</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-111.708</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 </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 </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-111.708</w:t>
            </w:r>
          </w:p>
        </w:tc>
      </w:tr>
      <w:tr w:rsidR="006E3590" w:rsidRPr="006E3590" w:rsidTr="006E3590">
        <w:trPr>
          <w:trHeight w:val="300"/>
        </w:trPr>
        <w:tc>
          <w:tcPr>
            <w:tcW w:w="3056" w:type="dxa"/>
            <w:tcBorders>
              <w:top w:val="nil"/>
              <w:left w:val="nil"/>
              <w:bottom w:val="nil"/>
              <w:right w:val="nil"/>
            </w:tcBorders>
            <w:shd w:val="clear" w:color="000000" w:fill="FFFFFF"/>
            <w:noWrap/>
            <w:vAlign w:val="bottom"/>
            <w:hideMark/>
          </w:tcPr>
          <w:p w:rsidR="006E3590" w:rsidRPr="006E3590" w:rsidRDefault="006E3590" w:rsidP="006E3590">
            <w:pPr>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Gruppenedskrivinger</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-66.927</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 </w:t>
            </w:r>
          </w:p>
        </w:tc>
        <w:tc>
          <w:tcPr>
            <w:tcW w:w="1136" w:type="dxa"/>
            <w:tcBorders>
              <w:top w:val="nil"/>
              <w:left w:val="nil"/>
              <w:bottom w:val="nil"/>
              <w:right w:val="nil"/>
            </w:tcBorders>
            <w:shd w:val="clear" w:color="000000" w:fill="FFFFFF"/>
            <w:noWrap/>
            <w:vAlign w:val="bottom"/>
            <w:hideMark/>
          </w:tcPr>
          <w:p w:rsidR="006E3590" w:rsidRPr="006E3590" w:rsidRDefault="006E3590" w:rsidP="006E3590">
            <w:pPr>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 </w:t>
            </w:r>
          </w:p>
        </w:tc>
        <w:tc>
          <w:tcPr>
            <w:tcW w:w="1216" w:type="dxa"/>
            <w:tcBorders>
              <w:top w:val="nil"/>
              <w:left w:val="nil"/>
              <w:bottom w:val="nil"/>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color w:val="000000"/>
                <w:szCs w:val="18"/>
                <w:lang w:eastAsia="nb-NO"/>
              </w:rPr>
            </w:pPr>
            <w:r w:rsidRPr="006E3590">
              <w:rPr>
                <w:rFonts w:ascii="Calibri" w:eastAsia="Times New Roman" w:hAnsi="Calibri" w:cs="Times New Roman"/>
                <w:color w:val="000000"/>
                <w:szCs w:val="18"/>
                <w:lang w:eastAsia="nb-NO"/>
              </w:rPr>
              <w:t>-66.927</w:t>
            </w:r>
          </w:p>
        </w:tc>
      </w:tr>
      <w:tr w:rsidR="006E3590" w:rsidRPr="006E3590" w:rsidTr="006E3590">
        <w:trPr>
          <w:trHeight w:val="315"/>
        </w:trPr>
        <w:tc>
          <w:tcPr>
            <w:tcW w:w="3056" w:type="dxa"/>
            <w:tcBorders>
              <w:top w:val="single" w:sz="4" w:space="0" w:color="auto"/>
              <w:left w:val="nil"/>
              <w:bottom w:val="single" w:sz="8" w:space="0" w:color="auto"/>
              <w:right w:val="nil"/>
            </w:tcBorders>
            <w:shd w:val="clear" w:color="000000" w:fill="FFFFFF"/>
            <w:noWrap/>
            <w:vAlign w:val="bottom"/>
            <w:hideMark/>
          </w:tcPr>
          <w:p w:rsidR="006E3590" w:rsidRPr="006E3590" w:rsidRDefault="006E3590" w:rsidP="006E3590">
            <w:pPr>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Sum netto utlån</w:t>
            </w:r>
          </w:p>
        </w:tc>
        <w:tc>
          <w:tcPr>
            <w:tcW w:w="1216" w:type="dxa"/>
            <w:tcBorders>
              <w:top w:val="single" w:sz="4" w:space="0" w:color="auto"/>
              <w:left w:val="nil"/>
              <w:bottom w:val="single" w:sz="8" w:space="0" w:color="auto"/>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23.255.480</w:t>
            </w:r>
          </w:p>
        </w:tc>
        <w:tc>
          <w:tcPr>
            <w:tcW w:w="1216" w:type="dxa"/>
            <w:tcBorders>
              <w:top w:val="single" w:sz="4" w:space="0" w:color="auto"/>
              <w:left w:val="nil"/>
              <w:bottom w:val="single" w:sz="8" w:space="0" w:color="auto"/>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805.972</w:t>
            </w:r>
          </w:p>
        </w:tc>
        <w:tc>
          <w:tcPr>
            <w:tcW w:w="1136" w:type="dxa"/>
            <w:tcBorders>
              <w:top w:val="single" w:sz="4" w:space="0" w:color="auto"/>
              <w:left w:val="nil"/>
              <w:bottom w:val="single" w:sz="8" w:space="0" w:color="auto"/>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3.472.246</w:t>
            </w:r>
          </w:p>
        </w:tc>
        <w:tc>
          <w:tcPr>
            <w:tcW w:w="1216" w:type="dxa"/>
            <w:tcBorders>
              <w:top w:val="single" w:sz="4" w:space="0" w:color="auto"/>
              <w:left w:val="nil"/>
              <w:bottom w:val="single" w:sz="8" w:space="0" w:color="auto"/>
              <w:right w:val="nil"/>
            </w:tcBorders>
            <w:shd w:val="clear" w:color="000000" w:fill="FFFFFF"/>
            <w:noWrap/>
            <w:vAlign w:val="bottom"/>
            <w:hideMark/>
          </w:tcPr>
          <w:p w:rsidR="006E3590" w:rsidRPr="006E3590" w:rsidRDefault="006E3590" w:rsidP="006E3590">
            <w:pPr>
              <w:jc w:val="right"/>
              <w:rPr>
                <w:rFonts w:ascii="Calibri" w:eastAsia="Times New Roman" w:hAnsi="Calibri" w:cs="Times New Roman"/>
                <w:b/>
                <w:bCs/>
                <w:color w:val="000000"/>
                <w:szCs w:val="18"/>
                <w:lang w:eastAsia="nb-NO"/>
              </w:rPr>
            </w:pPr>
            <w:r w:rsidRPr="006E3590">
              <w:rPr>
                <w:rFonts w:ascii="Calibri" w:eastAsia="Times New Roman" w:hAnsi="Calibri" w:cs="Times New Roman"/>
                <w:b/>
                <w:bCs/>
                <w:color w:val="000000"/>
                <w:szCs w:val="18"/>
                <w:lang w:eastAsia="nb-NO"/>
              </w:rPr>
              <w:t>27.533.698</w:t>
            </w:r>
          </w:p>
        </w:tc>
      </w:tr>
    </w:tbl>
    <w:p w:rsidR="00332570" w:rsidRDefault="00332570" w:rsidP="002075CC"/>
    <w:p w:rsidR="00A71DF3" w:rsidRDefault="006E3590" w:rsidP="002075CC">
      <w:r>
        <w:t>Konsernet foretar fullstendig tapsvurdering hver kvartal. Ind</w:t>
      </w:r>
      <w:r w:rsidR="00332570">
        <w:t>ividuelle</w:t>
      </w:r>
      <w:r>
        <w:t xml:space="preserve"> nedskrivinger foretas for alle vesentlige lån basert  vurdering av objektive hendelser s</w:t>
      </w:r>
      <w:r w:rsidR="00DD4402">
        <w:t xml:space="preserve">om kan påvirke verdien av </w:t>
      </w:r>
      <w:proofErr w:type="spellStart"/>
      <w:r w:rsidR="00DD4402">
        <w:t>lånet</w:t>
      </w:r>
      <w:proofErr w:type="spellEnd"/>
      <w:r w:rsidR="00DD4402">
        <w:t>.</w:t>
      </w:r>
      <w:r>
        <w:t xml:space="preserve"> </w:t>
      </w:r>
      <w:proofErr w:type="spellStart"/>
      <w:r>
        <w:t>Gr</w:t>
      </w:r>
      <w:r w:rsidR="00332570">
        <w:t>uppevise</w:t>
      </w:r>
      <w:proofErr w:type="spellEnd"/>
      <w:r w:rsidR="00332570">
        <w:t xml:space="preserve"> nedskrivinger beregnes </w:t>
      </w:r>
      <w:r>
        <w:t xml:space="preserve">utfra en metodikk som tilsier vurdering av negative hendelser for undergrupper av utlån som  viser at den fremtidige kontantstrømmen fra lånene blir redusert. </w:t>
      </w:r>
    </w:p>
    <w:p w:rsidR="00C94292" w:rsidRDefault="00C94292" w:rsidP="002075CC"/>
    <w:p w:rsidR="00184993" w:rsidRDefault="00184993">
      <w:pPr>
        <w:spacing w:after="200" w:line="276" w:lineRule="auto"/>
      </w:pPr>
      <w:r>
        <w:br w:type="page"/>
      </w:r>
    </w:p>
    <w:p w:rsidR="00C94292" w:rsidRDefault="00C94292" w:rsidP="002075CC">
      <w:r>
        <w:t>Ta</w:t>
      </w:r>
      <w:r w:rsidR="00DD4402">
        <w:t>bellen under viser individuelle</w:t>
      </w:r>
      <w:r>
        <w:t xml:space="preserve"> nedskrivinger og brutto nedskrevne engasjement fordelt på kundegrupper, i tillegg vises også omfanget av brutto misligholdte engasjement uten nedskriving:</w:t>
      </w:r>
    </w:p>
    <w:p w:rsidR="00C94292" w:rsidRDefault="00C94292" w:rsidP="002075CC"/>
    <w:p w:rsidR="00CB49EC" w:rsidRPr="002075CC" w:rsidRDefault="00CB49EC" w:rsidP="00CB49EC">
      <w:pPr>
        <w:pStyle w:val="Bildetekst"/>
      </w:pPr>
      <w:bookmarkStart w:id="34" w:name="_Toc387671306"/>
      <w:r>
        <w:t xml:space="preserve">Tabell </w:t>
      </w:r>
      <w:r w:rsidR="00E42F82">
        <w:fldChar w:fldCharType="begin"/>
      </w:r>
      <w:r w:rsidR="00E42F82">
        <w:instrText xml:space="preserve"> SEQ Tabell \* ARABIC </w:instrText>
      </w:r>
      <w:r w:rsidR="00E42F82">
        <w:fldChar w:fldCharType="separate"/>
      </w:r>
      <w:r>
        <w:rPr>
          <w:noProof/>
        </w:rPr>
        <w:t>8</w:t>
      </w:r>
      <w:r w:rsidR="00E42F82">
        <w:rPr>
          <w:noProof/>
        </w:rPr>
        <w:fldChar w:fldCharType="end"/>
      </w:r>
      <w:r>
        <w:t xml:space="preserve"> Kreditteksponering – nedskrivinger </w:t>
      </w:r>
      <w:proofErr w:type="spellStart"/>
      <w:r>
        <w:t>o.l</w:t>
      </w:r>
      <w:bookmarkEnd w:id="34"/>
      <w:proofErr w:type="spellEnd"/>
    </w:p>
    <w:p w:rsidR="009136C9" w:rsidRPr="00BF5ABC" w:rsidRDefault="009136C9" w:rsidP="004243E2">
      <w:pPr>
        <w:rPr>
          <w:color w:val="FF0000"/>
        </w:rPr>
      </w:pPr>
    </w:p>
    <w:tbl>
      <w:tblPr>
        <w:tblW w:w="9160" w:type="dxa"/>
        <w:tblInd w:w="70" w:type="dxa"/>
        <w:tblCellMar>
          <w:left w:w="70" w:type="dxa"/>
          <w:right w:w="70" w:type="dxa"/>
        </w:tblCellMar>
        <w:tblLook w:val="04A0" w:firstRow="1" w:lastRow="0" w:firstColumn="1" w:lastColumn="0" w:noHBand="0" w:noVBand="1"/>
      </w:tblPr>
      <w:tblGrid>
        <w:gridCol w:w="3056"/>
        <w:gridCol w:w="1596"/>
        <w:gridCol w:w="1594"/>
        <w:gridCol w:w="1595"/>
        <w:gridCol w:w="1319"/>
      </w:tblGrid>
      <w:tr w:rsidR="00C94292" w:rsidRPr="00C94292" w:rsidTr="00C94292">
        <w:trPr>
          <w:trHeight w:val="1200"/>
        </w:trPr>
        <w:tc>
          <w:tcPr>
            <w:tcW w:w="3056" w:type="dxa"/>
            <w:tcBorders>
              <w:top w:val="nil"/>
              <w:left w:val="nil"/>
              <w:bottom w:val="nil"/>
              <w:right w:val="nil"/>
            </w:tcBorders>
            <w:shd w:val="clear" w:color="000000" w:fill="D9D9D9"/>
            <w:noWrap/>
            <w:vAlign w:val="bottom"/>
            <w:hideMark/>
          </w:tcPr>
          <w:p w:rsidR="00C94292" w:rsidRPr="00C94292" w:rsidRDefault="00C94292" w:rsidP="00C94292">
            <w:pPr>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Kundegrupper</w:t>
            </w:r>
          </w:p>
        </w:tc>
        <w:tc>
          <w:tcPr>
            <w:tcW w:w="1596" w:type="dxa"/>
            <w:tcBorders>
              <w:top w:val="nil"/>
              <w:left w:val="nil"/>
              <w:bottom w:val="nil"/>
              <w:right w:val="nil"/>
            </w:tcBorders>
            <w:shd w:val="clear" w:color="000000" w:fill="D9D9D9"/>
            <w:vAlign w:val="bottom"/>
            <w:hideMark/>
          </w:tcPr>
          <w:p w:rsidR="00C94292" w:rsidRPr="00C94292" w:rsidRDefault="00C94292" w:rsidP="00C94292">
            <w:pPr>
              <w:jc w:val="center"/>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Individuelle nedskrivinger</w:t>
            </w:r>
          </w:p>
        </w:tc>
        <w:tc>
          <w:tcPr>
            <w:tcW w:w="1594" w:type="dxa"/>
            <w:tcBorders>
              <w:top w:val="nil"/>
              <w:left w:val="nil"/>
              <w:bottom w:val="nil"/>
              <w:right w:val="nil"/>
            </w:tcBorders>
            <w:shd w:val="clear" w:color="000000" w:fill="D9D9D9"/>
            <w:vAlign w:val="bottom"/>
            <w:hideMark/>
          </w:tcPr>
          <w:p w:rsidR="00C94292" w:rsidRPr="00C94292" w:rsidRDefault="00C94292" w:rsidP="00C94292">
            <w:pPr>
              <w:jc w:val="center"/>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 xml:space="preserve">Nedskriving på grupper </w:t>
            </w:r>
          </w:p>
        </w:tc>
        <w:tc>
          <w:tcPr>
            <w:tcW w:w="1595" w:type="dxa"/>
            <w:tcBorders>
              <w:top w:val="nil"/>
              <w:left w:val="nil"/>
              <w:bottom w:val="nil"/>
              <w:right w:val="nil"/>
            </w:tcBorders>
            <w:shd w:val="clear" w:color="000000" w:fill="D9D9D9"/>
            <w:vAlign w:val="bottom"/>
            <w:hideMark/>
          </w:tcPr>
          <w:p w:rsidR="00C94292" w:rsidRPr="00C94292" w:rsidRDefault="00C94292" w:rsidP="00C94292">
            <w:pPr>
              <w:jc w:val="center"/>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Brutto misligholdte eng. uten nedskriving</w:t>
            </w:r>
          </w:p>
        </w:tc>
        <w:tc>
          <w:tcPr>
            <w:tcW w:w="1319" w:type="dxa"/>
            <w:tcBorders>
              <w:top w:val="nil"/>
              <w:left w:val="nil"/>
              <w:bottom w:val="nil"/>
              <w:right w:val="nil"/>
            </w:tcBorders>
            <w:shd w:val="clear" w:color="000000" w:fill="D9D9D9"/>
            <w:vAlign w:val="bottom"/>
            <w:hideMark/>
          </w:tcPr>
          <w:p w:rsidR="00C94292" w:rsidRPr="00C94292" w:rsidRDefault="00C94292" w:rsidP="00C94292">
            <w:pPr>
              <w:jc w:val="center"/>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Brutto nedskrevne engasjement</w:t>
            </w:r>
          </w:p>
        </w:tc>
      </w:tr>
      <w:tr w:rsidR="00C94292" w:rsidRPr="00C94292" w:rsidTr="00C94292">
        <w:trPr>
          <w:trHeight w:val="300"/>
        </w:trPr>
        <w:tc>
          <w:tcPr>
            <w:tcW w:w="3056" w:type="dxa"/>
            <w:tcBorders>
              <w:top w:val="nil"/>
              <w:left w:val="nil"/>
              <w:bottom w:val="nil"/>
              <w:right w:val="nil"/>
            </w:tcBorders>
            <w:shd w:val="clear" w:color="000000" w:fill="FFFFFF"/>
            <w:noWrap/>
            <w:vAlign w:val="bottom"/>
            <w:hideMark/>
          </w:tcPr>
          <w:p w:rsidR="00C94292" w:rsidRPr="00C94292" w:rsidRDefault="00C94292" w:rsidP="00C94292">
            <w:pPr>
              <w:rPr>
                <w:rFonts w:eastAsia="Times New Roman" w:cs="Arial"/>
                <w:color w:val="000000"/>
                <w:szCs w:val="18"/>
                <w:lang w:eastAsia="nb-NO"/>
              </w:rPr>
            </w:pPr>
            <w:r w:rsidRPr="00C94292">
              <w:rPr>
                <w:rFonts w:eastAsia="Times New Roman" w:cs="Arial"/>
                <w:color w:val="000000"/>
                <w:szCs w:val="18"/>
                <w:lang w:eastAsia="nb-NO"/>
              </w:rPr>
              <w:t>Jord- og skogbruk</w:t>
            </w:r>
          </w:p>
        </w:tc>
        <w:tc>
          <w:tcPr>
            <w:tcW w:w="1596"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0</w:t>
            </w:r>
          </w:p>
        </w:tc>
        <w:tc>
          <w:tcPr>
            <w:tcW w:w="1594"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595"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0</w:t>
            </w:r>
          </w:p>
        </w:tc>
      </w:tr>
      <w:tr w:rsidR="00C94292" w:rsidRPr="00C94292" w:rsidTr="00C94292">
        <w:trPr>
          <w:trHeight w:val="300"/>
        </w:trPr>
        <w:tc>
          <w:tcPr>
            <w:tcW w:w="3056" w:type="dxa"/>
            <w:tcBorders>
              <w:top w:val="nil"/>
              <w:left w:val="nil"/>
              <w:bottom w:val="nil"/>
              <w:right w:val="nil"/>
            </w:tcBorders>
            <w:shd w:val="clear" w:color="000000" w:fill="FFFFFF"/>
            <w:noWrap/>
            <w:vAlign w:val="bottom"/>
            <w:hideMark/>
          </w:tcPr>
          <w:p w:rsidR="00C94292" w:rsidRPr="00C94292" w:rsidRDefault="00C94292" w:rsidP="00C94292">
            <w:pPr>
              <w:rPr>
                <w:rFonts w:eastAsia="Times New Roman" w:cs="Arial"/>
                <w:color w:val="000000"/>
                <w:szCs w:val="18"/>
                <w:lang w:eastAsia="nb-NO"/>
              </w:rPr>
            </w:pPr>
            <w:r w:rsidRPr="00C94292">
              <w:rPr>
                <w:rFonts w:eastAsia="Times New Roman" w:cs="Arial"/>
                <w:color w:val="000000"/>
                <w:szCs w:val="18"/>
                <w:lang w:eastAsia="nb-NO"/>
              </w:rPr>
              <w:t>Fiske og fangst</w:t>
            </w:r>
          </w:p>
        </w:tc>
        <w:tc>
          <w:tcPr>
            <w:tcW w:w="1596"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0</w:t>
            </w:r>
          </w:p>
        </w:tc>
        <w:tc>
          <w:tcPr>
            <w:tcW w:w="1594"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595"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0</w:t>
            </w:r>
          </w:p>
        </w:tc>
      </w:tr>
      <w:tr w:rsidR="00C94292" w:rsidRPr="00C94292" w:rsidTr="00C94292">
        <w:trPr>
          <w:trHeight w:val="300"/>
        </w:trPr>
        <w:tc>
          <w:tcPr>
            <w:tcW w:w="3056" w:type="dxa"/>
            <w:tcBorders>
              <w:top w:val="nil"/>
              <w:left w:val="nil"/>
              <w:bottom w:val="nil"/>
              <w:right w:val="nil"/>
            </w:tcBorders>
            <w:shd w:val="clear" w:color="000000" w:fill="FFFFFF"/>
            <w:noWrap/>
            <w:vAlign w:val="bottom"/>
            <w:hideMark/>
          </w:tcPr>
          <w:p w:rsidR="00C94292" w:rsidRPr="00C94292" w:rsidRDefault="00C94292" w:rsidP="00C94292">
            <w:pPr>
              <w:rPr>
                <w:rFonts w:eastAsia="Times New Roman" w:cs="Arial"/>
                <w:color w:val="000000"/>
                <w:szCs w:val="18"/>
                <w:lang w:eastAsia="nb-NO"/>
              </w:rPr>
            </w:pPr>
            <w:r w:rsidRPr="00C94292">
              <w:rPr>
                <w:rFonts w:eastAsia="Times New Roman" w:cs="Arial"/>
                <w:color w:val="000000"/>
                <w:szCs w:val="18"/>
                <w:lang w:eastAsia="nb-NO"/>
              </w:rPr>
              <w:t>Bygge- og anleggsvirksomhet</w:t>
            </w:r>
          </w:p>
        </w:tc>
        <w:tc>
          <w:tcPr>
            <w:tcW w:w="1596"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106</w:t>
            </w:r>
          </w:p>
        </w:tc>
        <w:tc>
          <w:tcPr>
            <w:tcW w:w="1594"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595"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107</w:t>
            </w:r>
          </w:p>
        </w:tc>
      </w:tr>
      <w:tr w:rsidR="00C94292" w:rsidRPr="00C94292" w:rsidTr="00C94292">
        <w:trPr>
          <w:trHeight w:val="300"/>
        </w:trPr>
        <w:tc>
          <w:tcPr>
            <w:tcW w:w="3056" w:type="dxa"/>
            <w:tcBorders>
              <w:top w:val="nil"/>
              <w:left w:val="nil"/>
              <w:bottom w:val="nil"/>
              <w:right w:val="nil"/>
            </w:tcBorders>
            <w:shd w:val="clear" w:color="000000" w:fill="FFFFFF"/>
            <w:noWrap/>
            <w:vAlign w:val="bottom"/>
            <w:hideMark/>
          </w:tcPr>
          <w:p w:rsidR="00C94292" w:rsidRPr="00C94292" w:rsidRDefault="00C94292" w:rsidP="00C94292">
            <w:pPr>
              <w:rPr>
                <w:rFonts w:eastAsia="Times New Roman" w:cs="Arial"/>
                <w:color w:val="000000"/>
                <w:szCs w:val="18"/>
                <w:lang w:eastAsia="nb-NO"/>
              </w:rPr>
            </w:pPr>
            <w:r w:rsidRPr="00C94292">
              <w:rPr>
                <w:rFonts w:eastAsia="Times New Roman" w:cs="Arial"/>
                <w:color w:val="000000"/>
                <w:szCs w:val="18"/>
                <w:lang w:eastAsia="nb-NO"/>
              </w:rPr>
              <w:t>Industri</w:t>
            </w:r>
          </w:p>
        </w:tc>
        <w:tc>
          <w:tcPr>
            <w:tcW w:w="1596"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634</w:t>
            </w:r>
          </w:p>
        </w:tc>
        <w:tc>
          <w:tcPr>
            <w:tcW w:w="1594"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595"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1.042</w:t>
            </w:r>
          </w:p>
        </w:tc>
      </w:tr>
      <w:tr w:rsidR="00C94292" w:rsidRPr="00C94292" w:rsidTr="00C94292">
        <w:trPr>
          <w:trHeight w:val="300"/>
        </w:trPr>
        <w:tc>
          <w:tcPr>
            <w:tcW w:w="3056" w:type="dxa"/>
            <w:tcBorders>
              <w:top w:val="nil"/>
              <w:left w:val="nil"/>
              <w:bottom w:val="nil"/>
              <w:right w:val="nil"/>
            </w:tcBorders>
            <w:shd w:val="clear" w:color="000000" w:fill="FFFFFF"/>
            <w:noWrap/>
            <w:vAlign w:val="bottom"/>
            <w:hideMark/>
          </w:tcPr>
          <w:p w:rsidR="00C94292" w:rsidRPr="00C94292" w:rsidRDefault="00C94292" w:rsidP="00C94292">
            <w:pPr>
              <w:rPr>
                <w:rFonts w:eastAsia="Times New Roman" w:cs="Arial"/>
                <w:color w:val="000000"/>
                <w:szCs w:val="18"/>
                <w:lang w:eastAsia="nb-NO"/>
              </w:rPr>
            </w:pPr>
            <w:r w:rsidRPr="00C94292">
              <w:rPr>
                <w:rFonts w:eastAsia="Times New Roman" w:cs="Arial"/>
                <w:color w:val="000000"/>
                <w:szCs w:val="18"/>
                <w:lang w:eastAsia="nb-NO"/>
              </w:rPr>
              <w:t>Olje og energi</w:t>
            </w:r>
          </w:p>
        </w:tc>
        <w:tc>
          <w:tcPr>
            <w:tcW w:w="1596"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47.200</w:t>
            </w:r>
          </w:p>
        </w:tc>
        <w:tc>
          <w:tcPr>
            <w:tcW w:w="1594"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595"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89.238</w:t>
            </w:r>
          </w:p>
        </w:tc>
      </w:tr>
      <w:tr w:rsidR="00C94292" w:rsidRPr="00C94292" w:rsidTr="00C94292">
        <w:trPr>
          <w:trHeight w:val="300"/>
        </w:trPr>
        <w:tc>
          <w:tcPr>
            <w:tcW w:w="3056" w:type="dxa"/>
            <w:tcBorders>
              <w:top w:val="nil"/>
              <w:left w:val="nil"/>
              <w:bottom w:val="nil"/>
              <w:right w:val="nil"/>
            </w:tcBorders>
            <w:shd w:val="clear" w:color="000000" w:fill="FFFFFF"/>
            <w:noWrap/>
            <w:vAlign w:val="bottom"/>
            <w:hideMark/>
          </w:tcPr>
          <w:p w:rsidR="00C94292" w:rsidRPr="00C94292" w:rsidRDefault="00C94292" w:rsidP="00C94292">
            <w:pPr>
              <w:rPr>
                <w:rFonts w:eastAsia="Times New Roman" w:cs="Arial"/>
                <w:color w:val="000000"/>
                <w:szCs w:val="18"/>
                <w:lang w:eastAsia="nb-NO"/>
              </w:rPr>
            </w:pPr>
            <w:r w:rsidRPr="00C94292">
              <w:rPr>
                <w:rFonts w:eastAsia="Times New Roman" w:cs="Arial"/>
                <w:color w:val="000000"/>
                <w:szCs w:val="18"/>
                <w:lang w:eastAsia="nb-NO"/>
              </w:rPr>
              <w:t>Varehandel</w:t>
            </w:r>
          </w:p>
        </w:tc>
        <w:tc>
          <w:tcPr>
            <w:tcW w:w="1596"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0</w:t>
            </w:r>
          </w:p>
        </w:tc>
        <w:tc>
          <w:tcPr>
            <w:tcW w:w="1594"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595"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0</w:t>
            </w:r>
          </w:p>
        </w:tc>
      </w:tr>
      <w:tr w:rsidR="00C94292" w:rsidRPr="00C94292" w:rsidTr="00C94292">
        <w:trPr>
          <w:trHeight w:val="300"/>
        </w:trPr>
        <w:tc>
          <w:tcPr>
            <w:tcW w:w="3056" w:type="dxa"/>
            <w:tcBorders>
              <w:top w:val="nil"/>
              <w:left w:val="nil"/>
              <w:bottom w:val="nil"/>
              <w:right w:val="nil"/>
            </w:tcBorders>
            <w:shd w:val="clear" w:color="000000" w:fill="FFFFFF"/>
            <w:noWrap/>
            <w:vAlign w:val="bottom"/>
            <w:hideMark/>
          </w:tcPr>
          <w:p w:rsidR="00C94292" w:rsidRPr="00C94292" w:rsidRDefault="00C94292" w:rsidP="00C94292">
            <w:pPr>
              <w:rPr>
                <w:rFonts w:eastAsia="Times New Roman" w:cs="Arial"/>
                <w:color w:val="000000"/>
                <w:szCs w:val="18"/>
                <w:lang w:eastAsia="nb-NO"/>
              </w:rPr>
            </w:pPr>
            <w:r w:rsidRPr="00C94292">
              <w:rPr>
                <w:rFonts w:eastAsia="Times New Roman" w:cs="Arial"/>
                <w:color w:val="000000"/>
                <w:szCs w:val="18"/>
                <w:lang w:eastAsia="nb-NO"/>
              </w:rPr>
              <w:t>Hotell- og restaurantdrift</w:t>
            </w:r>
          </w:p>
        </w:tc>
        <w:tc>
          <w:tcPr>
            <w:tcW w:w="1596"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0</w:t>
            </w:r>
          </w:p>
        </w:tc>
        <w:tc>
          <w:tcPr>
            <w:tcW w:w="1594"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595"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0</w:t>
            </w:r>
          </w:p>
        </w:tc>
      </w:tr>
      <w:tr w:rsidR="00C94292" w:rsidRPr="00C94292" w:rsidTr="00C94292">
        <w:trPr>
          <w:trHeight w:val="300"/>
        </w:trPr>
        <w:tc>
          <w:tcPr>
            <w:tcW w:w="3056" w:type="dxa"/>
            <w:tcBorders>
              <w:top w:val="nil"/>
              <w:left w:val="nil"/>
              <w:bottom w:val="nil"/>
              <w:right w:val="nil"/>
            </w:tcBorders>
            <w:shd w:val="clear" w:color="000000" w:fill="FFFFFF"/>
            <w:noWrap/>
            <w:vAlign w:val="bottom"/>
            <w:hideMark/>
          </w:tcPr>
          <w:p w:rsidR="00C94292" w:rsidRPr="00C94292" w:rsidRDefault="00C94292" w:rsidP="00C94292">
            <w:pPr>
              <w:rPr>
                <w:rFonts w:eastAsia="Times New Roman" w:cs="Arial"/>
                <w:color w:val="000000"/>
                <w:szCs w:val="18"/>
                <w:lang w:eastAsia="nb-NO"/>
              </w:rPr>
            </w:pPr>
            <w:r w:rsidRPr="00C94292">
              <w:rPr>
                <w:rFonts w:eastAsia="Times New Roman" w:cs="Arial"/>
                <w:color w:val="000000"/>
                <w:szCs w:val="18"/>
                <w:lang w:eastAsia="nb-NO"/>
              </w:rPr>
              <w:t>Transport og lagring</w:t>
            </w:r>
          </w:p>
        </w:tc>
        <w:tc>
          <w:tcPr>
            <w:tcW w:w="1596"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0</w:t>
            </w:r>
          </w:p>
        </w:tc>
        <w:tc>
          <w:tcPr>
            <w:tcW w:w="1594"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595"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0</w:t>
            </w:r>
          </w:p>
        </w:tc>
      </w:tr>
      <w:tr w:rsidR="00C94292" w:rsidRPr="00C94292" w:rsidTr="00C94292">
        <w:trPr>
          <w:trHeight w:val="300"/>
        </w:trPr>
        <w:tc>
          <w:tcPr>
            <w:tcW w:w="3056" w:type="dxa"/>
            <w:tcBorders>
              <w:top w:val="nil"/>
              <w:left w:val="nil"/>
              <w:bottom w:val="nil"/>
              <w:right w:val="nil"/>
            </w:tcBorders>
            <w:shd w:val="clear" w:color="000000" w:fill="FFFFFF"/>
            <w:noWrap/>
            <w:vAlign w:val="bottom"/>
            <w:hideMark/>
          </w:tcPr>
          <w:p w:rsidR="00C94292" w:rsidRPr="00C94292" w:rsidRDefault="00C94292" w:rsidP="00C94292">
            <w:pPr>
              <w:rPr>
                <w:rFonts w:eastAsia="Times New Roman" w:cs="Arial"/>
                <w:color w:val="000000"/>
                <w:szCs w:val="18"/>
                <w:lang w:eastAsia="nb-NO"/>
              </w:rPr>
            </w:pPr>
            <w:r w:rsidRPr="00C94292">
              <w:rPr>
                <w:rFonts w:eastAsia="Times New Roman" w:cs="Arial"/>
                <w:color w:val="000000"/>
                <w:szCs w:val="18"/>
                <w:lang w:eastAsia="nb-NO"/>
              </w:rPr>
              <w:t>Offentlig og privat tjenesteyting</w:t>
            </w:r>
          </w:p>
        </w:tc>
        <w:tc>
          <w:tcPr>
            <w:tcW w:w="1596"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0</w:t>
            </w:r>
          </w:p>
        </w:tc>
        <w:tc>
          <w:tcPr>
            <w:tcW w:w="1594"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595"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0</w:t>
            </w:r>
          </w:p>
        </w:tc>
      </w:tr>
      <w:tr w:rsidR="00C94292" w:rsidRPr="00C94292" w:rsidTr="00C94292">
        <w:trPr>
          <w:trHeight w:val="300"/>
        </w:trPr>
        <w:tc>
          <w:tcPr>
            <w:tcW w:w="3056" w:type="dxa"/>
            <w:tcBorders>
              <w:top w:val="nil"/>
              <w:left w:val="nil"/>
              <w:bottom w:val="nil"/>
              <w:right w:val="nil"/>
            </w:tcBorders>
            <w:shd w:val="clear" w:color="000000" w:fill="FFFFFF"/>
            <w:noWrap/>
            <w:vAlign w:val="bottom"/>
            <w:hideMark/>
          </w:tcPr>
          <w:p w:rsidR="00C94292" w:rsidRPr="00C94292" w:rsidRDefault="00C94292" w:rsidP="00C94292">
            <w:pPr>
              <w:rPr>
                <w:rFonts w:eastAsia="Times New Roman" w:cs="Arial"/>
                <w:color w:val="000000"/>
                <w:szCs w:val="18"/>
                <w:lang w:eastAsia="nb-NO"/>
              </w:rPr>
            </w:pPr>
            <w:r w:rsidRPr="00C94292">
              <w:rPr>
                <w:rFonts w:eastAsia="Times New Roman" w:cs="Arial"/>
                <w:color w:val="000000"/>
                <w:szCs w:val="18"/>
                <w:lang w:eastAsia="nb-NO"/>
              </w:rPr>
              <w:t>Eiendomsdrift</w:t>
            </w:r>
          </w:p>
        </w:tc>
        <w:tc>
          <w:tcPr>
            <w:tcW w:w="1596"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54.653</w:t>
            </w:r>
          </w:p>
        </w:tc>
        <w:tc>
          <w:tcPr>
            <w:tcW w:w="1594"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595"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285.197</w:t>
            </w:r>
          </w:p>
        </w:tc>
      </w:tr>
      <w:tr w:rsidR="00C94292" w:rsidRPr="00C94292" w:rsidTr="00C94292">
        <w:trPr>
          <w:trHeight w:val="300"/>
        </w:trPr>
        <w:tc>
          <w:tcPr>
            <w:tcW w:w="3056" w:type="dxa"/>
            <w:tcBorders>
              <w:top w:val="nil"/>
              <w:left w:val="nil"/>
              <w:bottom w:val="nil"/>
              <w:right w:val="nil"/>
            </w:tcBorders>
            <w:shd w:val="clear" w:color="000000" w:fill="FFFFFF"/>
            <w:noWrap/>
            <w:vAlign w:val="bottom"/>
            <w:hideMark/>
          </w:tcPr>
          <w:p w:rsidR="00C94292" w:rsidRPr="00C94292" w:rsidRDefault="00C94292" w:rsidP="00C94292">
            <w:pPr>
              <w:rPr>
                <w:rFonts w:eastAsia="Times New Roman" w:cs="Arial"/>
                <w:color w:val="000000"/>
                <w:szCs w:val="18"/>
                <w:lang w:eastAsia="nb-NO"/>
              </w:rPr>
            </w:pPr>
            <w:r w:rsidRPr="00C94292">
              <w:rPr>
                <w:rFonts w:eastAsia="Times New Roman" w:cs="Arial"/>
                <w:color w:val="000000"/>
                <w:szCs w:val="18"/>
                <w:lang w:eastAsia="nb-NO"/>
              </w:rPr>
              <w:t>Andre kundegrupper</w:t>
            </w:r>
          </w:p>
        </w:tc>
        <w:tc>
          <w:tcPr>
            <w:tcW w:w="1596"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145</w:t>
            </w:r>
          </w:p>
        </w:tc>
        <w:tc>
          <w:tcPr>
            <w:tcW w:w="1594"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595"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8.230</w:t>
            </w:r>
          </w:p>
        </w:tc>
      </w:tr>
      <w:tr w:rsidR="00C94292" w:rsidRPr="00C94292" w:rsidTr="00C94292">
        <w:trPr>
          <w:trHeight w:val="300"/>
        </w:trPr>
        <w:tc>
          <w:tcPr>
            <w:tcW w:w="3056" w:type="dxa"/>
            <w:tcBorders>
              <w:top w:val="single" w:sz="4" w:space="0" w:color="auto"/>
              <w:left w:val="nil"/>
              <w:bottom w:val="single" w:sz="4" w:space="0" w:color="auto"/>
              <w:right w:val="nil"/>
            </w:tcBorders>
            <w:shd w:val="clear" w:color="000000" w:fill="FFFFFF"/>
            <w:noWrap/>
            <w:vAlign w:val="bottom"/>
            <w:hideMark/>
          </w:tcPr>
          <w:p w:rsidR="00C94292" w:rsidRPr="00C94292" w:rsidRDefault="00C94292" w:rsidP="00C94292">
            <w:pPr>
              <w:rPr>
                <w:rFonts w:eastAsia="Times New Roman" w:cs="Arial"/>
                <w:b/>
                <w:bCs/>
                <w:color w:val="000000"/>
                <w:szCs w:val="18"/>
                <w:lang w:eastAsia="nb-NO"/>
              </w:rPr>
            </w:pPr>
            <w:r w:rsidRPr="00C94292">
              <w:rPr>
                <w:rFonts w:eastAsia="Times New Roman" w:cs="Arial"/>
                <w:b/>
                <w:bCs/>
                <w:color w:val="000000"/>
                <w:szCs w:val="18"/>
                <w:lang w:eastAsia="nb-NO"/>
              </w:rPr>
              <w:t>Sum NL</w:t>
            </w:r>
          </w:p>
        </w:tc>
        <w:tc>
          <w:tcPr>
            <w:tcW w:w="1596" w:type="dxa"/>
            <w:tcBorders>
              <w:top w:val="single" w:sz="4" w:space="0" w:color="auto"/>
              <w:left w:val="nil"/>
              <w:bottom w:val="single" w:sz="4" w:space="0" w:color="auto"/>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102.738</w:t>
            </w:r>
          </w:p>
        </w:tc>
        <w:tc>
          <w:tcPr>
            <w:tcW w:w="1594" w:type="dxa"/>
            <w:tcBorders>
              <w:top w:val="single" w:sz="4" w:space="0" w:color="auto"/>
              <w:left w:val="nil"/>
              <w:bottom w:val="single" w:sz="4" w:space="0" w:color="auto"/>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44.141</w:t>
            </w:r>
          </w:p>
        </w:tc>
        <w:tc>
          <w:tcPr>
            <w:tcW w:w="1595" w:type="dxa"/>
            <w:tcBorders>
              <w:top w:val="single" w:sz="4" w:space="0" w:color="auto"/>
              <w:left w:val="nil"/>
              <w:bottom w:val="single" w:sz="4" w:space="0" w:color="auto"/>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single" w:sz="4" w:space="0" w:color="auto"/>
              <w:left w:val="nil"/>
              <w:bottom w:val="single" w:sz="4" w:space="0" w:color="auto"/>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383.815</w:t>
            </w:r>
          </w:p>
        </w:tc>
      </w:tr>
      <w:tr w:rsidR="00C94292" w:rsidRPr="00C94292" w:rsidTr="00C94292">
        <w:trPr>
          <w:trHeight w:val="300"/>
        </w:trPr>
        <w:tc>
          <w:tcPr>
            <w:tcW w:w="3056" w:type="dxa"/>
            <w:tcBorders>
              <w:top w:val="nil"/>
              <w:left w:val="nil"/>
              <w:bottom w:val="nil"/>
              <w:right w:val="nil"/>
            </w:tcBorders>
            <w:shd w:val="clear" w:color="000000" w:fill="FFFFFF"/>
            <w:noWrap/>
            <w:vAlign w:val="bottom"/>
            <w:hideMark/>
          </w:tcPr>
          <w:p w:rsidR="00C94292" w:rsidRPr="00C94292" w:rsidRDefault="00C94292" w:rsidP="00C94292">
            <w:pPr>
              <w:rPr>
                <w:rFonts w:eastAsia="Times New Roman" w:cs="Arial"/>
                <w:b/>
                <w:bCs/>
                <w:color w:val="000000"/>
                <w:szCs w:val="18"/>
                <w:lang w:eastAsia="nb-NO"/>
              </w:rPr>
            </w:pPr>
            <w:r w:rsidRPr="00C94292">
              <w:rPr>
                <w:rFonts w:eastAsia="Times New Roman" w:cs="Arial"/>
                <w:b/>
                <w:bCs/>
                <w:color w:val="000000"/>
                <w:szCs w:val="18"/>
                <w:lang w:eastAsia="nb-NO"/>
              </w:rPr>
              <w:t> </w:t>
            </w:r>
          </w:p>
        </w:tc>
        <w:tc>
          <w:tcPr>
            <w:tcW w:w="1596"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 </w:t>
            </w:r>
          </w:p>
        </w:tc>
        <w:tc>
          <w:tcPr>
            <w:tcW w:w="1594"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 </w:t>
            </w:r>
          </w:p>
        </w:tc>
        <w:tc>
          <w:tcPr>
            <w:tcW w:w="1595"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r>
      <w:tr w:rsidR="00C94292" w:rsidRPr="00C94292" w:rsidTr="00C94292">
        <w:trPr>
          <w:trHeight w:val="300"/>
        </w:trPr>
        <w:tc>
          <w:tcPr>
            <w:tcW w:w="3056"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PM</w:t>
            </w:r>
          </w:p>
        </w:tc>
        <w:tc>
          <w:tcPr>
            <w:tcW w:w="1596"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8.970</w:t>
            </w:r>
          </w:p>
        </w:tc>
        <w:tc>
          <w:tcPr>
            <w:tcW w:w="1594"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22.786</w:t>
            </w:r>
          </w:p>
        </w:tc>
        <w:tc>
          <w:tcPr>
            <w:tcW w:w="1595" w:type="dxa"/>
            <w:tcBorders>
              <w:top w:val="nil"/>
              <w:left w:val="nil"/>
              <w:bottom w:val="nil"/>
              <w:right w:val="nil"/>
            </w:tcBorders>
            <w:shd w:val="clear" w:color="000000" w:fill="FFFFFF"/>
            <w:noWrap/>
            <w:vAlign w:val="bottom"/>
            <w:hideMark/>
          </w:tcPr>
          <w:p w:rsidR="00C94292" w:rsidRPr="00C94292" w:rsidRDefault="00C94292" w:rsidP="00C94292">
            <w:pPr>
              <w:rPr>
                <w:rFonts w:ascii="Calibri" w:eastAsia="Times New Roman" w:hAnsi="Calibri" w:cs="Times New Roman"/>
                <w:color w:val="000000"/>
                <w:szCs w:val="18"/>
                <w:lang w:eastAsia="nb-NO"/>
              </w:rPr>
            </w:pPr>
            <w:r w:rsidRPr="00C94292">
              <w:rPr>
                <w:rFonts w:ascii="Calibri" w:eastAsia="Times New Roman" w:hAnsi="Calibri" w:cs="Times New Roman"/>
                <w:color w:val="000000"/>
                <w:szCs w:val="18"/>
                <w:lang w:eastAsia="nb-NO"/>
              </w:rPr>
              <w:t> </w:t>
            </w:r>
          </w:p>
        </w:tc>
        <w:tc>
          <w:tcPr>
            <w:tcW w:w="1319" w:type="dxa"/>
            <w:tcBorders>
              <w:top w:val="nil"/>
              <w:left w:val="nil"/>
              <w:bottom w:val="nil"/>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23.787</w:t>
            </w:r>
          </w:p>
        </w:tc>
      </w:tr>
      <w:tr w:rsidR="00C94292" w:rsidRPr="00C94292" w:rsidTr="00C94292">
        <w:trPr>
          <w:trHeight w:val="315"/>
        </w:trPr>
        <w:tc>
          <w:tcPr>
            <w:tcW w:w="3056" w:type="dxa"/>
            <w:tcBorders>
              <w:top w:val="single" w:sz="4" w:space="0" w:color="auto"/>
              <w:left w:val="nil"/>
              <w:bottom w:val="single" w:sz="8" w:space="0" w:color="auto"/>
              <w:right w:val="nil"/>
            </w:tcBorders>
            <w:shd w:val="clear" w:color="000000" w:fill="FFFFFF"/>
            <w:noWrap/>
            <w:vAlign w:val="bottom"/>
            <w:hideMark/>
          </w:tcPr>
          <w:p w:rsidR="00C94292" w:rsidRPr="00C94292" w:rsidRDefault="00C94292" w:rsidP="00C94292">
            <w:pPr>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 xml:space="preserve">Sum </w:t>
            </w:r>
          </w:p>
        </w:tc>
        <w:tc>
          <w:tcPr>
            <w:tcW w:w="1596" w:type="dxa"/>
            <w:tcBorders>
              <w:top w:val="single" w:sz="4" w:space="0" w:color="auto"/>
              <w:left w:val="nil"/>
              <w:bottom w:val="single" w:sz="8" w:space="0" w:color="auto"/>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111.708</w:t>
            </w:r>
          </w:p>
        </w:tc>
        <w:tc>
          <w:tcPr>
            <w:tcW w:w="1594" w:type="dxa"/>
            <w:tcBorders>
              <w:top w:val="single" w:sz="4" w:space="0" w:color="auto"/>
              <w:left w:val="nil"/>
              <w:bottom w:val="single" w:sz="8" w:space="0" w:color="auto"/>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66.927</w:t>
            </w:r>
          </w:p>
        </w:tc>
        <w:tc>
          <w:tcPr>
            <w:tcW w:w="1595" w:type="dxa"/>
            <w:tcBorders>
              <w:top w:val="single" w:sz="4" w:space="0" w:color="auto"/>
              <w:left w:val="nil"/>
              <w:bottom w:val="single" w:sz="8" w:space="0" w:color="auto"/>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162.846</w:t>
            </w:r>
          </w:p>
        </w:tc>
        <w:tc>
          <w:tcPr>
            <w:tcW w:w="1319" w:type="dxa"/>
            <w:tcBorders>
              <w:top w:val="single" w:sz="4" w:space="0" w:color="auto"/>
              <w:left w:val="nil"/>
              <w:bottom w:val="single" w:sz="8" w:space="0" w:color="auto"/>
              <w:right w:val="nil"/>
            </w:tcBorders>
            <w:shd w:val="clear" w:color="000000" w:fill="FFFFFF"/>
            <w:noWrap/>
            <w:vAlign w:val="bottom"/>
            <w:hideMark/>
          </w:tcPr>
          <w:p w:rsidR="00C94292" w:rsidRPr="00C94292" w:rsidRDefault="00C94292" w:rsidP="00C94292">
            <w:pPr>
              <w:jc w:val="right"/>
              <w:rPr>
                <w:rFonts w:ascii="Calibri" w:eastAsia="Times New Roman" w:hAnsi="Calibri" w:cs="Times New Roman"/>
                <w:b/>
                <w:bCs/>
                <w:color w:val="000000"/>
                <w:szCs w:val="18"/>
                <w:lang w:eastAsia="nb-NO"/>
              </w:rPr>
            </w:pPr>
            <w:r w:rsidRPr="00C94292">
              <w:rPr>
                <w:rFonts w:ascii="Calibri" w:eastAsia="Times New Roman" w:hAnsi="Calibri" w:cs="Times New Roman"/>
                <w:b/>
                <w:bCs/>
                <w:color w:val="000000"/>
                <w:szCs w:val="18"/>
                <w:lang w:eastAsia="nb-NO"/>
              </w:rPr>
              <w:t>407.602</w:t>
            </w:r>
          </w:p>
        </w:tc>
      </w:tr>
    </w:tbl>
    <w:p w:rsidR="000418C8" w:rsidRDefault="000418C8" w:rsidP="004243E2">
      <w:pPr>
        <w:rPr>
          <w:color w:val="FF0000"/>
        </w:rPr>
      </w:pPr>
    </w:p>
    <w:p w:rsidR="00691D17" w:rsidRDefault="00691D17" w:rsidP="004243E2">
      <w:r>
        <w:t>Tabellen under viser forfalte, ikke nedskrevne utlån fordelt på tidsperioder:</w:t>
      </w:r>
    </w:p>
    <w:p w:rsidR="00CB49EC" w:rsidRDefault="00CB49EC" w:rsidP="004243E2"/>
    <w:p w:rsidR="00CB49EC" w:rsidRDefault="00CB49EC" w:rsidP="00CB49EC">
      <w:pPr>
        <w:pStyle w:val="Bildetekst"/>
      </w:pPr>
      <w:bookmarkStart w:id="35" w:name="_Toc387671307"/>
      <w:r>
        <w:t xml:space="preserve">Tabell </w:t>
      </w:r>
      <w:r w:rsidR="00E42F82">
        <w:fldChar w:fldCharType="begin"/>
      </w:r>
      <w:r w:rsidR="00E42F82">
        <w:instrText xml:space="preserve"> SEQ Tabell \* ARABIC </w:instrText>
      </w:r>
      <w:r w:rsidR="00E42F82">
        <w:fldChar w:fldCharType="separate"/>
      </w:r>
      <w:r>
        <w:rPr>
          <w:noProof/>
        </w:rPr>
        <w:t>9</w:t>
      </w:r>
      <w:r w:rsidR="00E42F82">
        <w:rPr>
          <w:noProof/>
        </w:rPr>
        <w:fldChar w:fldCharType="end"/>
      </w:r>
      <w:r>
        <w:t xml:space="preserve"> Kreditteksponering – forfalte, ikke nedskrevne utlån</w:t>
      </w:r>
      <w:bookmarkEnd w:id="35"/>
    </w:p>
    <w:p w:rsidR="00691D17" w:rsidRDefault="00691D17" w:rsidP="004243E2"/>
    <w:tbl>
      <w:tblPr>
        <w:tblW w:w="5940" w:type="dxa"/>
        <w:tblInd w:w="70" w:type="dxa"/>
        <w:tblCellMar>
          <w:left w:w="70" w:type="dxa"/>
          <w:right w:w="70" w:type="dxa"/>
        </w:tblCellMar>
        <w:tblLook w:val="04A0" w:firstRow="1" w:lastRow="0" w:firstColumn="1" w:lastColumn="0" w:noHBand="0" w:noVBand="1"/>
      </w:tblPr>
      <w:tblGrid>
        <w:gridCol w:w="1596"/>
        <w:gridCol w:w="1216"/>
        <w:gridCol w:w="1912"/>
        <w:gridCol w:w="1216"/>
      </w:tblGrid>
      <w:tr w:rsidR="00691D17" w:rsidRPr="00691D17" w:rsidTr="00691D17">
        <w:trPr>
          <w:trHeight w:val="600"/>
        </w:trPr>
        <w:tc>
          <w:tcPr>
            <w:tcW w:w="1596" w:type="dxa"/>
            <w:tcBorders>
              <w:top w:val="nil"/>
              <w:left w:val="nil"/>
              <w:bottom w:val="nil"/>
              <w:right w:val="nil"/>
            </w:tcBorders>
            <w:shd w:val="clear" w:color="000000" w:fill="D9D9D9"/>
            <w:noWrap/>
            <w:vAlign w:val="bottom"/>
            <w:hideMark/>
          </w:tcPr>
          <w:p w:rsidR="00691D17" w:rsidRPr="00691D17" w:rsidRDefault="00691D17" w:rsidP="00691D17">
            <w:pPr>
              <w:rPr>
                <w:rFonts w:ascii="Calibri" w:eastAsia="Times New Roman" w:hAnsi="Calibri" w:cs="Times New Roman"/>
                <w:b/>
                <w:bCs/>
                <w:szCs w:val="18"/>
                <w:lang w:eastAsia="nb-NO"/>
              </w:rPr>
            </w:pPr>
            <w:r w:rsidRPr="00691D17">
              <w:rPr>
                <w:rFonts w:ascii="Calibri" w:eastAsia="Times New Roman" w:hAnsi="Calibri" w:cs="Times New Roman"/>
                <w:b/>
                <w:bCs/>
                <w:szCs w:val="18"/>
                <w:lang w:eastAsia="nb-NO"/>
              </w:rPr>
              <w:t>SSB Boligkreditt</w:t>
            </w:r>
          </w:p>
        </w:tc>
        <w:tc>
          <w:tcPr>
            <w:tcW w:w="1216" w:type="dxa"/>
            <w:tcBorders>
              <w:top w:val="nil"/>
              <w:left w:val="nil"/>
              <w:bottom w:val="nil"/>
              <w:right w:val="nil"/>
            </w:tcBorders>
            <w:shd w:val="clear" w:color="000000" w:fill="D9D9D9"/>
            <w:noWrap/>
            <w:vAlign w:val="bottom"/>
            <w:hideMark/>
          </w:tcPr>
          <w:p w:rsidR="00691D17" w:rsidRPr="00691D17" w:rsidRDefault="00691D17" w:rsidP="00691D17">
            <w:pPr>
              <w:jc w:val="center"/>
              <w:rPr>
                <w:rFonts w:ascii="Calibri" w:eastAsia="Times New Roman" w:hAnsi="Calibri" w:cs="Times New Roman"/>
                <w:b/>
                <w:bCs/>
                <w:color w:val="000000"/>
                <w:szCs w:val="18"/>
                <w:lang w:eastAsia="nb-NO"/>
              </w:rPr>
            </w:pPr>
            <w:r w:rsidRPr="00691D17">
              <w:rPr>
                <w:rFonts w:ascii="Calibri" w:eastAsia="Times New Roman" w:hAnsi="Calibri" w:cs="Times New Roman"/>
                <w:b/>
                <w:bCs/>
                <w:color w:val="000000"/>
                <w:szCs w:val="18"/>
                <w:lang w:eastAsia="nb-NO"/>
              </w:rPr>
              <w:t>Mor</w:t>
            </w:r>
          </w:p>
        </w:tc>
        <w:tc>
          <w:tcPr>
            <w:tcW w:w="1912" w:type="dxa"/>
            <w:tcBorders>
              <w:top w:val="nil"/>
              <w:left w:val="nil"/>
              <w:bottom w:val="nil"/>
              <w:right w:val="nil"/>
            </w:tcBorders>
            <w:shd w:val="clear" w:color="000000" w:fill="D9D9D9"/>
            <w:vAlign w:val="bottom"/>
            <w:hideMark/>
          </w:tcPr>
          <w:p w:rsidR="00691D17" w:rsidRPr="00691D17" w:rsidRDefault="00691D17" w:rsidP="00691D17">
            <w:pPr>
              <w:jc w:val="center"/>
              <w:rPr>
                <w:rFonts w:ascii="Calibri" w:eastAsia="Times New Roman" w:hAnsi="Calibri" w:cs="Times New Roman"/>
                <w:b/>
                <w:bCs/>
                <w:color w:val="000000"/>
                <w:szCs w:val="18"/>
                <w:lang w:eastAsia="nb-NO"/>
              </w:rPr>
            </w:pPr>
            <w:r w:rsidRPr="00691D17">
              <w:rPr>
                <w:rFonts w:ascii="Calibri" w:eastAsia="Times New Roman" w:hAnsi="Calibri" w:cs="Times New Roman"/>
                <w:b/>
                <w:bCs/>
                <w:color w:val="000000"/>
                <w:szCs w:val="18"/>
                <w:lang w:eastAsia="nb-NO"/>
              </w:rPr>
              <w:t>Forfalte, ikke nedskrevne utlån</w:t>
            </w:r>
          </w:p>
        </w:tc>
        <w:tc>
          <w:tcPr>
            <w:tcW w:w="1216" w:type="dxa"/>
            <w:tcBorders>
              <w:top w:val="nil"/>
              <w:left w:val="nil"/>
              <w:bottom w:val="nil"/>
              <w:right w:val="nil"/>
            </w:tcBorders>
            <w:shd w:val="clear" w:color="000000" w:fill="D9D9D9"/>
            <w:noWrap/>
            <w:vAlign w:val="bottom"/>
            <w:hideMark/>
          </w:tcPr>
          <w:p w:rsidR="00691D17" w:rsidRPr="00691D17" w:rsidRDefault="00691D17" w:rsidP="00691D17">
            <w:pPr>
              <w:jc w:val="center"/>
              <w:rPr>
                <w:rFonts w:ascii="Calibri" w:eastAsia="Times New Roman" w:hAnsi="Calibri" w:cs="Times New Roman"/>
                <w:b/>
                <w:bCs/>
                <w:color w:val="000000"/>
                <w:szCs w:val="18"/>
                <w:lang w:eastAsia="nb-NO"/>
              </w:rPr>
            </w:pPr>
            <w:r w:rsidRPr="00691D17">
              <w:rPr>
                <w:rFonts w:ascii="Calibri" w:eastAsia="Times New Roman" w:hAnsi="Calibri" w:cs="Times New Roman"/>
                <w:b/>
                <w:bCs/>
                <w:color w:val="000000"/>
                <w:szCs w:val="18"/>
                <w:lang w:eastAsia="nb-NO"/>
              </w:rPr>
              <w:t>Konsern</w:t>
            </w:r>
          </w:p>
        </w:tc>
      </w:tr>
      <w:tr w:rsidR="00691D17" w:rsidRPr="00691D17" w:rsidTr="00691D17">
        <w:trPr>
          <w:trHeight w:val="300"/>
        </w:trPr>
        <w:tc>
          <w:tcPr>
            <w:tcW w:w="1596" w:type="dxa"/>
            <w:tcBorders>
              <w:top w:val="nil"/>
              <w:left w:val="nil"/>
              <w:bottom w:val="nil"/>
              <w:right w:val="nil"/>
            </w:tcBorders>
            <w:shd w:val="clear" w:color="000000" w:fill="FFFFFF"/>
            <w:noWrap/>
            <w:vAlign w:val="bottom"/>
            <w:hideMark/>
          </w:tcPr>
          <w:p w:rsidR="00691D17" w:rsidRPr="00691D17" w:rsidRDefault="00691D17" w:rsidP="00691D17">
            <w:pPr>
              <w:jc w:val="right"/>
              <w:rPr>
                <w:rFonts w:ascii="Calibri" w:eastAsia="Times New Roman" w:hAnsi="Calibri" w:cs="Times New Roman"/>
                <w:color w:val="000000"/>
                <w:szCs w:val="18"/>
                <w:lang w:eastAsia="nb-NO"/>
              </w:rPr>
            </w:pPr>
            <w:r w:rsidRPr="00691D17">
              <w:rPr>
                <w:rFonts w:ascii="Calibri" w:eastAsia="Times New Roman" w:hAnsi="Calibri" w:cs="Times New Roman"/>
                <w:color w:val="000000"/>
                <w:szCs w:val="18"/>
                <w:lang w:eastAsia="nb-NO"/>
              </w:rPr>
              <w:t>5.598</w:t>
            </w:r>
          </w:p>
        </w:tc>
        <w:tc>
          <w:tcPr>
            <w:tcW w:w="1216" w:type="dxa"/>
            <w:tcBorders>
              <w:top w:val="nil"/>
              <w:left w:val="nil"/>
              <w:bottom w:val="nil"/>
              <w:right w:val="nil"/>
            </w:tcBorders>
            <w:shd w:val="clear" w:color="000000" w:fill="FFFFFF"/>
            <w:noWrap/>
            <w:vAlign w:val="bottom"/>
            <w:hideMark/>
          </w:tcPr>
          <w:p w:rsidR="00691D17" w:rsidRPr="00691D17" w:rsidRDefault="00691D17" w:rsidP="00691D17">
            <w:pPr>
              <w:jc w:val="right"/>
              <w:rPr>
                <w:rFonts w:ascii="Calibri" w:eastAsia="Times New Roman" w:hAnsi="Calibri" w:cs="Times New Roman"/>
                <w:color w:val="000000"/>
                <w:szCs w:val="18"/>
                <w:lang w:eastAsia="nb-NO"/>
              </w:rPr>
            </w:pPr>
            <w:r w:rsidRPr="00691D17">
              <w:rPr>
                <w:rFonts w:ascii="Calibri" w:eastAsia="Times New Roman" w:hAnsi="Calibri" w:cs="Times New Roman"/>
                <w:color w:val="000000"/>
                <w:szCs w:val="18"/>
                <w:lang w:eastAsia="nb-NO"/>
              </w:rPr>
              <w:t>62.278</w:t>
            </w:r>
          </w:p>
        </w:tc>
        <w:tc>
          <w:tcPr>
            <w:tcW w:w="1912" w:type="dxa"/>
            <w:tcBorders>
              <w:top w:val="nil"/>
              <w:left w:val="nil"/>
              <w:bottom w:val="nil"/>
              <w:right w:val="nil"/>
            </w:tcBorders>
            <w:shd w:val="clear" w:color="000000" w:fill="FFFFFF"/>
            <w:noWrap/>
            <w:vAlign w:val="bottom"/>
            <w:hideMark/>
          </w:tcPr>
          <w:p w:rsidR="00691D17" w:rsidRPr="00691D17" w:rsidRDefault="00691D17" w:rsidP="00691D17">
            <w:pPr>
              <w:jc w:val="center"/>
              <w:rPr>
                <w:rFonts w:ascii="Calibri" w:eastAsia="Times New Roman" w:hAnsi="Calibri" w:cs="Times New Roman"/>
                <w:color w:val="000000"/>
                <w:szCs w:val="18"/>
                <w:lang w:eastAsia="nb-NO"/>
              </w:rPr>
            </w:pPr>
            <w:r w:rsidRPr="00691D17">
              <w:rPr>
                <w:rFonts w:ascii="Calibri" w:eastAsia="Times New Roman" w:hAnsi="Calibri" w:cs="Times New Roman"/>
                <w:color w:val="000000"/>
                <w:szCs w:val="18"/>
                <w:lang w:eastAsia="nb-NO"/>
              </w:rPr>
              <w:t>30 - 59 dager</w:t>
            </w:r>
          </w:p>
        </w:tc>
        <w:tc>
          <w:tcPr>
            <w:tcW w:w="1216" w:type="dxa"/>
            <w:tcBorders>
              <w:top w:val="nil"/>
              <w:left w:val="nil"/>
              <w:bottom w:val="nil"/>
              <w:right w:val="nil"/>
            </w:tcBorders>
            <w:shd w:val="clear" w:color="000000" w:fill="FFFFFF"/>
            <w:noWrap/>
            <w:vAlign w:val="bottom"/>
            <w:hideMark/>
          </w:tcPr>
          <w:p w:rsidR="00691D17" w:rsidRPr="00691D17" w:rsidRDefault="00691D17" w:rsidP="00691D17">
            <w:pPr>
              <w:jc w:val="right"/>
              <w:rPr>
                <w:rFonts w:ascii="Calibri" w:eastAsia="Times New Roman" w:hAnsi="Calibri" w:cs="Times New Roman"/>
                <w:color w:val="000000"/>
                <w:szCs w:val="18"/>
                <w:lang w:eastAsia="nb-NO"/>
              </w:rPr>
            </w:pPr>
            <w:r w:rsidRPr="00691D17">
              <w:rPr>
                <w:rFonts w:ascii="Calibri" w:eastAsia="Times New Roman" w:hAnsi="Calibri" w:cs="Times New Roman"/>
                <w:color w:val="000000"/>
                <w:szCs w:val="18"/>
                <w:lang w:eastAsia="nb-NO"/>
              </w:rPr>
              <w:t>67.876</w:t>
            </w:r>
          </w:p>
        </w:tc>
      </w:tr>
      <w:tr w:rsidR="00691D17" w:rsidRPr="00691D17" w:rsidTr="00691D17">
        <w:trPr>
          <w:trHeight w:val="300"/>
        </w:trPr>
        <w:tc>
          <w:tcPr>
            <w:tcW w:w="1596" w:type="dxa"/>
            <w:tcBorders>
              <w:top w:val="nil"/>
              <w:left w:val="nil"/>
              <w:bottom w:val="nil"/>
              <w:right w:val="nil"/>
            </w:tcBorders>
            <w:shd w:val="clear" w:color="000000" w:fill="FFFFFF"/>
            <w:noWrap/>
            <w:vAlign w:val="bottom"/>
            <w:hideMark/>
          </w:tcPr>
          <w:p w:rsidR="00691D17" w:rsidRPr="00691D17" w:rsidRDefault="00691D17" w:rsidP="00691D17">
            <w:pPr>
              <w:jc w:val="right"/>
              <w:rPr>
                <w:rFonts w:ascii="Calibri" w:eastAsia="Times New Roman" w:hAnsi="Calibri" w:cs="Times New Roman"/>
                <w:color w:val="000000"/>
                <w:szCs w:val="18"/>
                <w:lang w:eastAsia="nb-NO"/>
              </w:rPr>
            </w:pPr>
            <w:r w:rsidRPr="00691D17">
              <w:rPr>
                <w:rFonts w:ascii="Calibri" w:eastAsia="Times New Roman" w:hAnsi="Calibri" w:cs="Times New Roman"/>
                <w:color w:val="000000"/>
                <w:szCs w:val="18"/>
                <w:lang w:eastAsia="nb-NO"/>
              </w:rPr>
              <w:t>0</w:t>
            </w:r>
          </w:p>
        </w:tc>
        <w:tc>
          <w:tcPr>
            <w:tcW w:w="1216" w:type="dxa"/>
            <w:tcBorders>
              <w:top w:val="nil"/>
              <w:left w:val="nil"/>
              <w:bottom w:val="nil"/>
              <w:right w:val="nil"/>
            </w:tcBorders>
            <w:shd w:val="clear" w:color="000000" w:fill="FFFFFF"/>
            <w:noWrap/>
            <w:vAlign w:val="bottom"/>
            <w:hideMark/>
          </w:tcPr>
          <w:p w:rsidR="00691D17" w:rsidRPr="00691D17" w:rsidRDefault="00691D17" w:rsidP="00691D17">
            <w:pPr>
              <w:jc w:val="right"/>
              <w:rPr>
                <w:rFonts w:ascii="Calibri" w:eastAsia="Times New Roman" w:hAnsi="Calibri" w:cs="Times New Roman"/>
                <w:color w:val="000000"/>
                <w:szCs w:val="18"/>
                <w:lang w:eastAsia="nb-NO"/>
              </w:rPr>
            </w:pPr>
            <w:r w:rsidRPr="00691D17">
              <w:rPr>
                <w:rFonts w:ascii="Calibri" w:eastAsia="Times New Roman" w:hAnsi="Calibri" w:cs="Times New Roman"/>
                <w:color w:val="000000"/>
                <w:szCs w:val="18"/>
                <w:lang w:eastAsia="nb-NO"/>
              </w:rPr>
              <w:t>79.354</w:t>
            </w:r>
          </w:p>
        </w:tc>
        <w:tc>
          <w:tcPr>
            <w:tcW w:w="1912" w:type="dxa"/>
            <w:tcBorders>
              <w:top w:val="nil"/>
              <w:left w:val="nil"/>
              <w:bottom w:val="nil"/>
              <w:right w:val="nil"/>
            </w:tcBorders>
            <w:shd w:val="clear" w:color="000000" w:fill="FFFFFF"/>
            <w:noWrap/>
            <w:vAlign w:val="bottom"/>
            <w:hideMark/>
          </w:tcPr>
          <w:p w:rsidR="00691D17" w:rsidRPr="00691D17" w:rsidRDefault="00691D17" w:rsidP="00691D17">
            <w:pPr>
              <w:jc w:val="center"/>
              <w:rPr>
                <w:rFonts w:ascii="Calibri" w:eastAsia="Times New Roman" w:hAnsi="Calibri" w:cs="Times New Roman"/>
                <w:color w:val="000000"/>
                <w:szCs w:val="18"/>
                <w:lang w:eastAsia="nb-NO"/>
              </w:rPr>
            </w:pPr>
            <w:r w:rsidRPr="00691D17">
              <w:rPr>
                <w:rFonts w:ascii="Calibri" w:eastAsia="Times New Roman" w:hAnsi="Calibri" w:cs="Times New Roman"/>
                <w:color w:val="000000"/>
                <w:szCs w:val="18"/>
                <w:lang w:eastAsia="nb-NO"/>
              </w:rPr>
              <w:t>60 - 89 dager</w:t>
            </w:r>
          </w:p>
        </w:tc>
        <w:tc>
          <w:tcPr>
            <w:tcW w:w="1216" w:type="dxa"/>
            <w:tcBorders>
              <w:top w:val="nil"/>
              <w:left w:val="nil"/>
              <w:bottom w:val="nil"/>
              <w:right w:val="nil"/>
            </w:tcBorders>
            <w:shd w:val="clear" w:color="000000" w:fill="FFFFFF"/>
            <w:noWrap/>
            <w:vAlign w:val="bottom"/>
            <w:hideMark/>
          </w:tcPr>
          <w:p w:rsidR="00691D17" w:rsidRPr="00691D17" w:rsidRDefault="00691D17" w:rsidP="00691D17">
            <w:pPr>
              <w:jc w:val="right"/>
              <w:rPr>
                <w:rFonts w:ascii="Calibri" w:eastAsia="Times New Roman" w:hAnsi="Calibri" w:cs="Times New Roman"/>
                <w:color w:val="000000"/>
                <w:szCs w:val="18"/>
                <w:lang w:eastAsia="nb-NO"/>
              </w:rPr>
            </w:pPr>
            <w:r w:rsidRPr="00691D17">
              <w:rPr>
                <w:rFonts w:ascii="Calibri" w:eastAsia="Times New Roman" w:hAnsi="Calibri" w:cs="Times New Roman"/>
                <w:color w:val="000000"/>
                <w:szCs w:val="18"/>
                <w:lang w:eastAsia="nb-NO"/>
              </w:rPr>
              <w:t>81.289</w:t>
            </w:r>
          </w:p>
        </w:tc>
      </w:tr>
      <w:tr w:rsidR="00691D17" w:rsidRPr="00691D17" w:rsidTr="00691D17">
        <w:trPr>
          <w:trHeight w:val="300"/>
        </w:trPr>
        <w:tc>
          <w:tcPr>
            <w:tcW w:w="1596" w:type="dxa"/>
            <w:tcBorders>
              <w:top w:val="nil"/>
              <w:left w:val="nil"/>
              <w:bottom w:val="nil"/>
              <w:right w:val="nil"/>
            </w:tcBorders>
            <w:shd w:val="clear" w:color="000000" w:fill="FFFFFF"/>
            <w:noWrap/>
            <w:vAlign w:val="bottom"/>
            <w:hideMark/>
          </w:tcPr>
          <w:p w:rsidR="00691D17" w:rsidRPr="00691D17" w:rsidRDefault="00691D17" w:rsidP="00691D17">
            <w:pPr>
              <w:jc w:val="right"/>
              <w:rPr>
                <w:rFonts w:ascii="Calibri" w:eastAsia="Times New Roman" w:hAnsi="Calibri" w:cs="Times New Roman"/>
                <w:color w:val="000000"/>
                <w:szCs w:val="18"/>
                <w:lang w:eastAsia="nb-NO"/>
              </w:rPr>
            </w:pPr>
            <w:r w:rsidRPr="00691D17">
              <w:rPr>
                <w:rFonts w:ascii="Calibri" w:eastAsia="Times New Roman" w:hAnsi="Calibri" w:cs="Times New Roman"/>
                <w:color w:val="000000"/>
                <w:szCs w:val="18"/>
                <w:lang w:eastAsia="nb-NO"/>
              </w:rPr>
              <w:t>0</w:t>
            </w:r>
          </w:p>
        </w:tc>
        <w:tc>
          <w:tcPr>
            <w:tcW w:w="1216" w:type="dxa"/>
            <w:tcBorders>
              <w:top w:val="nil"/>
              <w:left w:val="nil"/>
              <w:bottom w:val="nil"/>
              <w:right w:val="nil"/>
            </w:tcBorders>
            <w:shd w:val="clear" w:color="000000" w:fill="FFFFFF"/>
            <w:noWrap/>
            <w:vAlign w:val="bottom"/>
            <w:hideMark/>
          </w:tcPr>
          <w:p w:rsidR="00691D17" w:rsidRPr="00691D17" w:rsidRDefault="00691D17" w:rsidP="00691D17">
            <w:pPr>
              <w:jc w:val="right"/>
              <w:rPr>
                <w:rFonts w:ascii="Calibri" w:eastAsia="Times New Roman" w:hAnsi="Calibri" w:cs="Times New Roman"/>
                <w:color w:val="000000"/>
                <w:szCs w:val="18"/>
                <w:lang w:eastAsia="nb-NO"/>
              </w:rPr>
            </w:pPr>
            <w:r w:rsidRPr="00691D17">
              <w:rPr>
                <w:rFonts w:ascii="Calibri" w:eastAsia="Times New Roman" w:hAnsi="Calibri" w:cs="Times New Roman"/>
                <w:color w:val="000000"/>
                <w:szCs w:val="18"/>
                <w:lang w:eastAsia="nb-NO"/>
              </w:rPr>
              <w:t>162.846</w:t>
            </w:r>
          </w:p>
        </w:tc>
        <w:tc>
          <w:tcPr>
            <w:tcW w:w="1912" w:type="dxa"/>
            <w:tcBorders>
              <w:top w:val="nil"/>
              <w:left w:val="nil"/>
              <w:bottom w:val="nil"/>
              <w:right w:val="nil"/>
            </w:tcBorders>
            <w:shd w:val="clear" w:color="000000" w:fill="FFFFFF"/>
            <w:noWrap/>
            <w:vAlign w:val="bottom"/>
            <w:hideMark/>
          </w:tcPr>
          <w:p w:rsidR="00691D17" w:rsidRPr="00691D17" w:rsidRDefault="00691D17" w:rsidP="00691D17">
            <w:pPr>
              <w:jc w:val="center"/>
              <w:rPr>
                <w:rFonts w:ascii="Calibri" w:eastAsia="Times New Roman" w:hAnsi="Calibri" w:cs="Times New Roman"/>
                <w:color w:val="000000"/>
                <w:szCs w:val="18"/>
                <w:lang w:eastAsia="nb-NO"/>
              </w:rPr>
            </w:pPr>
            <w:r w:rsidRPr="00691D17">
              <w:rPr>
                <w:rFonts w:ascii="Calibri" w:eastAsia="Times New Roman" w:hAnsi="Calibri" w:cs="Times New Roman"/>
                <w:color w:val="000000"/>
                <w:szCs w:val="18"/>
                <w:lang w:eastAsia="nb-NO"/>
              </w:rPr>
              <w:t>Over 90 dager</w:t>
            </w:r>
          </w:p>
        </w:tc>
        <w:tc>
          <w:tcPr>
            <w:tcW w:w="1216" w:type="dxa"/>
            <w:tcBorders>
              <w:top w:val="nil"/>
              <w:left w:val="nil"/>
              <w:bottom w:val="nil"/>
              <w:right w:val="nil"/>
            </w:tcBorders>
            <w:shd w:val="clear" w:color="000000" w:fill="FFFFFF"/>
            <w:noWrap/>
            <w:vAlign w:val="bottom"/>
            <w:hideMark/>
          </w:tcPr>
          <w:p w:rsidR="00691D17" w:rsidRPr="00691D17" w:rsidRDefault="00691D17" w:rsidP="00691D17">
            <w:pPr>
              <w:jc w:val="right"/>
              <w:rPr>
                <w:rFonts w:ascii="Calibri" w:eastAsia="Times New Roman" w:hAnsi="Calibri" w:cs="Times New Roman"/>
                <w:color w:val="000000"/>
                <w:szCs w:val="18"/>
                <w:lang w:eastAsia="nb-NO"/>
              </w:rPr>
            </w:pPr>
            <w:r w:rsidRPr="00691D17">
              <w:rPr>
                <w:rFonts w:ascii="Calibri" w:eastAsia="Times New Roman" w:hAnsi="Calibri" w:cs="Times New Roman"/>
                <w:color w:val="000000"/>
                <w:szCs w:val="18"/>
                <w:lang w:eastAsia="nb-NO"/>
              </w:rPr>
              <w:t>162.846</w:t>
            </w:r>
          </w:p>
        </w:tc>
      </w:tr>
    </w:tbl>
    <w:p w:rsidR="00691D17" w:rsidRPr="00BF5ABC" w:rsidRDefault="00691D17" w:rsidP="004243E2">
      <w:pPr>
        <w:rPr>
          <w:color w:val="FF0000"/>
        </w:rPr>
      </w:pPr>
    </w:p>
    <w:p w:rsidR="000418C8" w:rsidRPr="00BF5ABC" w:rsidRDefault="000418C8" w:rsidP="004243E2">
      <w:pPr>
        <w:rPr>
          <w:color w:val="FF0000"/>
        </w:rPr>
      </w:pPr>
    </w:p>
    <w:p w:rsidR="000418C8" w:rsidRDefault="00691D17" w:rsidP="004243E2">
      <w:r w:rsidRPr="00691D17">
        <w:t>Det vises for øvrig til årsrapport for 2014 for mer utfyllende informasjon omkring kreditteksponering og tallstørrelser.</w:t>
      </w:r>
    </w:p>
    <w:p w:rsidR="00691D17" w:rsidRDefault="00691D17" w:rsidP="004243E2"/>
    <w:p w:rsidR="00E5152E" w:rsidRDefault="00E5152E" w:rsidP="004243E2"/>
    <w:p w:rsidR="00E5152E" w:rsidRDefault="00E5152E">
      <w:pPr>
        <w:spacing w:after="200" w:line="276" w:lineRule="auto"/>
        <w:rPr>
          <w:b/>
          <w:szCs w:val="18"/>
        </w:rPr>
      </w:pPr>
      <w:r>
        <w:br w:type="page"/>
      </w:r>
    </w:p>
    <w:p w:rsidR="00691D17" w:rsidRDefault="00691D17" w:rsidP="00691D17">
      <w:pPr>
        <w:pStyle w:val="Overskrift3"/>
      </w:pPr>
      <w:bookmarkStart w:id="36" w:name="_Toc387671279"/>
      <w:r>
        <w:t>Konsen</w:t>
      </w:r>
      <w:r w:rsidR="00DD4402">
        <w:t>trasjonsrisiko</w:t>
      </w:r>
      <w:bookmarkEnd w:id="36"/>
    </w:p>
    <w:p w:rsidR="00691D17" w:rsidRDefault="00DD4402" w:rsidP="00691D17">
      <w:r>
        <w:t>Konsentrasjonsrisiko</w:t>
      </w:r>
      <w:r w:rsidR="006F2B69">
        <w:t xml:space="preserve"> er et element av den samlede kredittrisikoen, og oppstår dersom det foreligger overrepresentasjon gjennom ulike elementer:</w:t>
      </w:r>
    </w:p>
    <w:p w:rsidR="006F2B69" w:rsidRDefault="006F2B69" w:rsidP="00691D17"/>
    <w:p w:rsidR="00CB49EC" w:rsidRDefault="00CB49EC" w:rsidP="00CB49EC">
      <w:pPr>
        <w:pStyle w:val="Bildetekst"/>
      </w:pPr>
      <w:bookmarkStart w:id="37" w:name="_Toc387671317"/>
      <w:r>
        <w:t xml:space="preserve">Figur </w:t>
      </w:r>
      <w:r w:rsidR="00E42F82">
        <w:fldChar w:fldCharType="begin"/>
      </w:r>
      <w:r w:rsidR="00E42F82">
        <w:instrText xml:space="preserve"> SEQ Figur \* ARABIC </w:instrText>
      </w:r>
      <w:r w:rsidR="00E42F82">
        <w:fldChar w:fldCharType="separate"/>
      </w:r>
      <w:r w:rsidR="00B06252">
        <w:rPr>
          <w:noProof/>
        </w:rPr>
        <w:t>5</w:t>
      </w:r>
      <w:r w:rsidR="00E42F82">
        <w:rPr>
          <w:noProof/>
        </w:rPr>
        <w:fldChar w:fldCharType="end"/>
      </w:r>
      <w:r>
        <w:t xml:space="preserve"> Kredittrisiko – elementer i konsentrasjonsrisiko</w:t>
      </w:r>
      <w:bookmarkEnd w:id="37"/>
    </w:p>
    <w:p w:rsidR="006F2B69" w:rsidRDefault="006F2B69" w:rsidP="00490159">
      <w:r>
        <w:rPr>
          <w:noProof/>
          <w:lang w:eastAsia="nb-NO"/>
        </w:rPr>
        <w:drawing>
          <wp:inline distT="0" distB="0" distL="0" distR="0" wp14:anchorId="131DB25F" wp14:editId="7550A5AC">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E5152E" w:rsidRDefault="00E5152E" w:rsidP="00490159"/>
    <w:p w:rsidR="006F2B69" w:rsidRDefault="00490159" w:rsidP="00490159">
      <w:pPr>
        <w:pStyle w:val="Overskrift4"/>
      </w:pPr>
      <w:r>
        <w:t>Kunde</w:t>
      </w:r>
    </w:p>
    <w:p w:rsidR="00490159" w:rsidRDefault="00490159" w:rsidP="00490159">
      <w:r>
        <w:t xml:space="preserve">Historiske tapsdata viser at isolert sett vil en forholdsmessig større eksponering mot NL segmentet i forhold til PM segmentet gi større tap. Konsernet har retningslinjer for hvordan fordelingen mellom disse to porteføljene skal være for å forhindre konsentrasjonsrisiko ut fra en kundeperspektiv. Ved utgangen av 2013 var andelen PM 65,2 % av total utlånsportefølje (etter individuelle nedskrivinger). </w:t>
      </w:r>
    </w:p>
    <w:p w:rsidR="00490159" w:rsidRDefault="00490159" w:rsidP="00490159"/>
    <w:p w:rsidR="00D04E76" w:rsidRDefault="00D04E76" w:rsidP="00D04E76">
      <w:pPr>
        <w:pStyle w:val="Overskrift4"/>
      </w:pPr>
      <w:r>
        <w:t>Produkt og formål</w:t>
      </w:r>
    </w:p>
    <w:p w:rsidR="00D04E76" w:rsidRDefault="00D04E76" w:rsidP="00D04E76">
      <w:r>
        <w:t>Dersom banken har en stor andel lån knyttet til spesialprodukter eller spesielle formål kan det også implisere konsentrasjonsrisiko. Dette kan for eksempel v</w:t>
      </w:r>
      <w:r w:rsidR="00DD4402">
        <w:t xml:space="preserve">ære stor andel </w:t>
      </w:r>
      <w:proofErr w:type="spellStart"/>
      <w:r w:rsidR="00DD4402">
        <w:t>verdipapirisering</w:t>
      </w:r>
      <w:proofErr w:type="spellEnd"/>
      <w:r>
        <w:t xml:space="preserve"> eller stort volum av oppkjøpsfinansiering målt som andel av samlet eksponering. Ved utgangen av 2013 har konsernet ingen slik konsentrasjonsrisiko. </w:t>
      </w:r>
    </w:p>
    <w:p w:rsidR="00E5152E" w:rsidRPr="00D04E76" w:rsidRDefault="00E5152E" w:rsidP="00D04E76"/>
    <w:p w:rsidR="00490159" w:rsidRDefault="00490159" w:rsidP="00490159">
      <w:pPr>
        <w:pStyle w:val="Overskrift4"/>
      </w:pPr>
      <w:r>
        <w:t>Geografisk fordeling</w:t>
      </w:r>
    </w:p>
    <w:p w:rsidR="00490159" w:rsidRDefault="00490159" w:rsidP="00490159">
      <w:r>
        <w:t>Alle norske sparebanker er eksponert mot en geografisk konsentrasjon ved at bankene er lokalt (eller regionalt) forankret. Konsernet har imidlertid en</w:t>
      </w:r>
      <w:r w:rsidR="00DD4402">
        <w:t xml:space="preserve"> viss geografisk </w:t>
      </w:r>
      <w:proofErr w:type="spellStart"/>
      <w:r w:rsidR="00DD4402">
        <w:t>diversifisering</w:t>
      </w:r>
      <w:proofErr w:type="spellEnd"/>
      <w:r>
        <w:t xml:space="preserve"> gjennom en 12 % eksponering mot Oslo / Akershus</w:t>
      </w:r>
      <w:r w:rsidR="00D04E76">
        <w:t>. Det er imidlertid vår oppfatning at dette området har mye av den samme makroøkonomiske eksponering som konsernets "hjemmemarked".</w:t>
      </w:r>
    </w:p>
    <w:p w:rsidR="00D04E76" w:rsidRDefault="00D04E76" w:rsidP="00490159"/>
    <w:p w:rsidR="009939A2" w:rsidRDefault="00D04E76" w:rsidP="009939A2">
      <w:pPr>
        <w:pStyle w:val="Overskrift4"/>
      </w:pPr>
      <w:r>
        <w:t>Store engasjement</w:t>
      </w:r>
      <w:bookmarkEnd w:id="30"/>
    </w:p>
    <w:p w:rsidR="00D04E76" w:rsidRDefault="00D04E76" w:rsidP="00D04E76">
      <w:r>
        <w:t>Konsernets eksponering mot store engasjement skal være begrenset. Store engasjement defineres ut fra størrelsen på engasjementet i forhold til ansvarli</w:t>
      </w:r>
      <w:r w:rsidR="00DD4402">
        <w:t>g kapital. Dette sikres gjennom</w:t>
      </w:r>
      <w:r>
        <w:t xml:space="preserve"> fastsatte grenser på hvor stor andel av engasjementene som kan overstige 10 % av ansvarlig kapital. </w:t>
      </w:r>
    </w:p>
    <w:p w:rsidR="00D04E76" w:rsidRDefault="00D04E76" w:rsidP="00D04E76"/>
    <w:p w:rsidR="00D04E76" w:rsidRDefault="00D04E76" w:rsidP="00D04E76">
      <w:pPr>
        <w:pStyle w:val="Overskrift4"/>
      </w:pPr>
      <w:r>
        <w:t>Bransje eller næring</w:t>
      </w:r>
    </w:p>
    <w:p w:rsidR="00D04E76" w:rsidRDefault="00854E07" w:rsidP="00D04E76">
      <w:r>
        <w:t>Eksponering mot volatile bransjer og næringsfordelt eksponering kan være en vesentlig bidragsyter til konsentrasjonsrisiko. Konsernet har definert hvilke bransjer de anser som å være spesielt utsatte, og basert på denne definisjonen har konsernet ikke noe konsentrasjonsrisiko ut mot volatile bransjer.</w:t>
      </w:r>
    </w:p>
    <w:p w:rsidR="00854E07" w:rsidRDefault="00854E07" w:rsidP="00D04E76"/>
    <w:p w:rsidR="00D14ED5" w:rsidRDefault="00854E07" w:rsidP="00D04E76">
      <w:r>
        <w:t xml:space="preserve">Når det gjelder konsentrasjon i eksponeringen mot enkeltnæringer vil dette, </w:t>
      </w:r>
      <w:r w:rsidR="00DD4402">
        <w:t>ved konjunkturtilbakeslag</w:t>
      </w:r>
      <w:r w:rsidR="00D14ED5">
        <w:t xml:space="preserve"> eller markedsmessige forverringer i enkeltbransjer, medføre økt risiko. Konsernet har, og har historisk sett hatt, en ikke ubetydelig eksponering mot næringseiendomssegmentet. Konsernet har etablert rammer for å begrense denne eksponeringen, en eksponering som både relativt og absolutt sett er redusert de siste årene. </w:t>
      </w:r>
    </w:p>
    <w:p w:rsidR="00D14ED5" w:rsidRDefault="00D14ED5" w:rsidP="00D14ED5">
      <w:pPr>
        <w:pStyle w:val="Overskrift2"/>
      </w:pPr>
      <w:bookmarkStart w:id="38" w:name="_Toc387671280"/>
      <w:proofErr w:type="spellStart"/>
      <w:r>
        <w:t>Markedsrisko</w:t>
      </w:r>
      <w:proofErr w:type="spellEnd"/>
      <w:r w:rsidR="00AD22D5">
        <w:t xml:space="preserve"> (Oppgjørsrisiko &amp; Posisjons-, valuta og oppgjørsrisiko)</w:t>
      </w:r>
      <w:bookmarkEnd w:id="38"/>
    </w:p>
    <w:p w:rsidR="00730991" w:rsidRDefault="00D14ED5" w:rsidP="00D04E76">
      <w:r>
        <w:t xml:space="preserve">Konsernets markedsrisiko styres gjennom definerte posisjonsrammer. Rammene er nedfelt i både i konsernets "Finansstrategi" og i konsernets "Likviditetsstrategi". Strategiene vedtas minst årlig, og gir føringer for konsernets aktiviteter i kapitalmarkedene, herunder rammer for valutaeksponering, renteeksponering og eksponering mot egenkapitalinstrumenter. </w:t>
      </w:r>
    </w:p>
    <w:p w:rsidR="00DD4402" w:rsidRDefault="00DD4402" w:rsidP="00D04E76"/>
    <w:p w:rsidR="00FF3376" w:rsidRDefault="00730991" w:rsidP="00D04E76">
      <w:r>
        <w:t xml:space="preserve">I forbindelse med vurdering av konsernets markedsrisiko legger konsernet til grunn Finanstilsynets metodikk ("Modul for </w:t>
      </w:r>
      <w:proofErr w:type="spellStart"/>
      <w:r>
        <w:t>markedsrisik</w:t>
      </w:r>
      <w:proofErr w:type="spellEnd"/>
      <w:r>
        <w:t xml:space="preserve">") til grunn ved sine vurderinger. </w:t>
      </w:r>
      <w:r w:rsidR="00FF3376">
        <w:t xml:space="preserve">Konsernets rammer for markedsrisiko er tilpasset konsernets aktivitetsnivå og kompleksitet. </w:t>
      </w:r>
    </w:p>
    <w:p w:rsidR="00DD4402" w:rsidRDefault="00DD4402" w:rsidP="00D04E76"/>
    <w:p w:rsidR="00FF3376" w:rsidRDefault="00FF3376" w:rsidP="00D04E76"/>
    <w:p w:rsidR="00FF3376" w:rsidRDefault="00FF3376" w:rsidP="00FF3376">
      <w:pPr>
        <w:pStyle w:val="Overskrift3"/>
      </w:pPr>
      <w:bookmarkStart w:id="39" w:name="_Toc387671281"/>
      <w:r>
        <w:t>Renterisiko</w:t>
      </w:r>
      <w:bookmarkEnd w:id="39"/>
    </w:p>
    <w:p w:rsidR="00DA4E16" w:rsidRDefault="00FE5547" w:rsidP="00FF3376">
      <w:r>
        <w:t xml:space="preserve">Konsernet påtar seg renterisiko gjennom posisjoner i rentebærende finansielle instrumenter og oppstår hovedsakelig gjennom utlån med fastrente og innlån (finansiering) med fastrente. Konsernet skal ikke pådra seg vesentlig renterisiko innenfor den ordinære virksomheten, noe som innebærer at ramme for renterisiko er satt til at maksimalt tap som følge av en renteøkning på 2 % ikke skal </w:t>
      </w:r>
      <w:r w:rsidR="00DA4E16">
        <w:t>overstige kr 15 millioner for morbank og ikke kr 6 mill</w:t>
      </w:r>
      <w:r w:rsidR="00DD4402">
        <w:t>ioner</w:t>
      </w:r>
      <w:r w:rsidR="00DA4E16">
        <w:t xml:space="preserve"> for SSB Boligkreditt. </w:t>
      </w:r>
    </w:p>
    <w:p w:rsidR="00DA4E16" w:rsidRDefault="00DA4E16" w:rsidP="00FF3376"/>
    <w:p w:rsidR="00DA4E16" w:rsidRDefault="00DA4E16" w:rsidP="00FF3376">
      <w:r>
        <w:t xml:space="preserve">Tabellen under viser renterisiko fordelt i perioden fra 3 </w:t>
      </w:r>
      <w:proofErr w:type="spellStart"/>
      <w:r>
        <w:t>mnd</w:t>
      </w:r>
      <w:proofErr w:type="spellEnd"/>
      <w:r>
        <w:t xml:space="preserve"> og utover:</w:t>
      </w:r>
    </w:p>
    <w:p w:rsidR="00CB49EC" w:rsidRDefault="00CB49EC" w:rsidP="00FF3376"/>
    <w:p w:rsidR="00CB49EC" w:rsidRPr="00CB49EC" w:rsidRDefault="00CB49EC" w:rsidP="00CB49EC">
      <w:pPr>
        <w:pStyle w:val="Bildetekst"/>
      </w:pPr>
      <w:bookmarkStart w:id="40" w:name="_Toc387671308"/>
      <w:r>
        <w:t xml:space="preserve">Tabell </w:t>
      </w:r>
      <w:r w:rsidR="00E42F82">
        <w:fldChar w:fldCharType="begin"/>
      </w:r>
      <w:r w:rsidR="00E42F82">
        <w:instrText xml:space="preserve"> SEQ Tabell \* ARABIC </w:instrText>
      </w:r>
      <w:r w:rsidR="00E42F82">
        <w:fldChar w:fldCharType="separate"/>
      </w:r>
      <w:r>
        <w:rPr>
          <w:noProof/>
        </w:rPr>
        <w:t>10</w:t>
      </w:r>
      <w:r w:rsidR="00E42F82">
        <w:rPr>
          <w:noProof/>
        </w:rPr>
        <w:fldChar w:fldCharType="end"/>
      </w:r>
      <w:r>
        <w:t xml:space="preserve"> Eksponering markedsrisiko – renterisiko</w:t>
      </w:r>
      <w:bookmarkEnd w:id="40"/>
    </w:p>
    <w:p w:rsidR="00DA4E16" w:rsidRDefault="00DA4E16" w:rsidP="00FF3376"/>
    <w:tbl>
      <w:tblPr>
        <w:tblW w:w="7624" w:type="dxa"/>
        <w:tblInd w:w="70" w:type="dxa"/>
        <w:tblCellMar>
          <w:left w:w="70" w:type="dxa"/>
          <w:right w:w="70" w:type="dxa"/>
        </w:tblCellMar>
        <w:tblLook w:val="04A0" w:firstRow="1" w:lastRow="0" w:firstColumn="1" w:lastColumn="0" w:noHBand="0" w:noVBand="1"/>
      </w:tblPr>
      <w:tblGrid>
        <w:gridCol w:w="1596"/>
        <w:gridCol w:w="1216"/>
        <w:gridCol w:w="3596"/>
        <w:gridCol w:w="1216"/>
      </w:tblGrid>
      <w:tr w:rsidR="00DA4E16" w:rsidRPr="00DA4E16" w:rsidTr="00DA4E16">
        <w:trPr>
          <w:trHeight w:val="300"/>
        </w:trPr>
        <w:tc>
          <w:tcPr>
            <w:tcW w:w="1596" w:type="dxa"/>
            <w:tcBorders>
              <w:top w:val="nil"/>
              <w:left w:val="nil"/>
              <w:bottom w:val="nil"/>
              <w:right w:val="nil"/>
            </w:tcBorders>
            <w:shd w:val="clear" w:color="000000" w:fill="D9D9D9"/>
            <w:noWrap/>
            <w:vAlign w:val="bottom"/>
            <w:hideMark/>
          </w:tcPr>
          <w:p w:rsidR="00DA4E16" w:rsidRPr="00DA4E16" w:rsidRDefault="00DA4E16" w:rsidP="00DA4E16">
            <w:pPr>
              <w:rPr>
                <w:rFonts w:ascii="Calibri" w:eastAsia="Times New Roman" w:hAnsi="Calibri" w:cs="Times New Roman"/>
                <w:b/>
                <w:bCs/>
                <w:szCs w:val="18"/>
                <w:lang w:eastAsia="nb-NO"/>
              </w:rPr>
            </w:pPr>
            <w:r w:rsidRPr="00DA4E16">
              <w:rPr>
                <w:rFonts w:ascii="Calibri" w:eastAsia="Times New Roman" w:hAnsi="Calibri" w:cs="Times New Roman"/>
                <w:b/>
                <w:bCs/>
                <w:szCs w:val="18"/>
                <w:lang w:eastAsia="nb-NO"/>
              </w:rPr>
              <w:t>SSB Boligkreditt</w:t>
            </w:r>
          </w:p>
        </w:tc>
        <w:tc>
          <w:tcPr>
            <w:tcW w:w="1216" w:type="dxa"/>
            <w:tcBorders>
              <w:top w:val="nil"/>
              <w:left w:val="nil"/>
              <w:bottom w:val="nil"/>
              <w:right w:val="nil"/>
            </w:tcBorders>
            <w:shd w:val="clear" w:color="000000" w:fill="D9D9D9"/>
            <w:noWrap/>
            <w:vAlign w:val="bottom"/>
            <w:hideMark/>
          </w:tcPr>
          <w:p w:rsidR="00DA4E16" w:rsidRPr="00DA4E16" w:rsidRDefault="00DA4E16" w:rsidP="00DA4E16">
            <w:pPr>
              <w:jc w:val="center"/>
              <w:rPr>
                <w:rFonts w:ascii="Calibri" w:eastAsia="Times New Roman" w:hAnsi="Calibri" w:cs="Times New Roman"/>
                <w:b/>
                <w:bCs/>
                <w:color w:val="000000"/>
                <w:szCs w:val="18"/>
                <w:lang w:eastAsia="nb-NO"/>
              </w:rPr>
            </w:pPr>
            <w:r w:rsidRPr="00DA4E16">
              <w:rPr>
                <w:rFonts w:ascii="Calibri" w:eastAsia="Times New Roman" w:hAnsi="Calibri" w:cs="Times New Roman"/>
                <w:b/>
                <w:bCs/>
                <w:color w:val="000000"/>
                <w:szCs w:val="18"/>
                <w:lang w:eastAsia="nb-NO"/>
              </w:rPr>
              <w:t>Mor</w:t>
            </w:r>
          </w:p>
        </w:tc>
        <w:tc>
          <w:tcPr>
            <w:tcW w:w="3596" w:type="dxa"/>
            <w:tcBorders>
              <w:top w:val="nil"/>
              <w:left w:val="nil"/>
              <w:bottom w:val="nil"/>
              <w:right w:val="nil"/>
            </w:tcBorders>
            <w:shd w:val="clear" w:color="000000" w:fill="D9D9D9"/>
            <w:noWrap/>
            <w:vAlign w:val="bottom"/>
            <w:hideMark/>
          </w:tcPr>
          <w:p w:rsidR="00DA4E16" w:rsidRPr="00DA4E16" w:rsidRDefault="00DA4E16" w:rsidP="00DA4E16">
            <w:pPr>
              <w:jc w:val="center"/>
              <w:rPr>
                <w:rFonts w:ascii="Calibri" w:eastAsia="Times New Roman" w:hAnsi="Calibri" w:cs="Times New Roman"/>
                <w:b/>
                <w:bCs/>
                <w:color w:val="000000"/>
                <w:szCs w:val="18"/>
                <w:lang w:eastAsia="nb-NO"/>
              </w:rPr>
            </w:pPr>
            <w:r w:rsidRPr="00DA4E16">
              <w:rPr>
                <w:rFonts w:ascii="Calibri" w:eastAsia="Times New Roman" w:hAnsi="Calibri" w:cs="Times New Roman"/>
                <w:b/>
                <w:bCs/>
                <w:color w:val="000000"/>
                <w:szCs w:val="18"/>
                <w:lang w:eastAsia="nb-NO"/>
              </w:rPr>
              <w:t> </w:t>
            </w:r>
          </w:p>
        </w:tc>
        <w:tc>
          <w:tcPr>
            <w:tcW w:w="1216" w:type="dxa"/>
            <w:tcBorders>
              <w:top w:val="nil"/>
              <w:left w:val="nil"/>
              <w:bottom w:val="nil"/>
              <w:right w:val="nil"/>
            </w:tcBorders>
            <w:shd w:val="clear" w:color="000000" w:fill="D9D9D9"/>
            <w:noWrap/>
            <w:vAlign w:val="bottom"/>
            <w:hideMark/>
          </w:tcPr>
          <w:p w:rsidR="00DA4E16" w:rsidRPr="00DA4E16" w:rsidRDefault="00DA4E16" w:rsidP="00DA4E16">
            <w:pPr>
              <w:jc w:val="center"/>
              <w:rPr>
                <w:rFonts w:ascii="Calibri" w:eastAsia="Times New Roman" w:hAnsi="Calibri" w:cs="Times New Roman"/>
                <w:b/>
                <w:bCs/>
                <w:color w:val="000000"/>
                <w:szCs w:val="18"/>
                <w:lang w:eastAsia="nb-NO"/>
              </w:rPr>
            </w:pPr>
            <w:r w:rsidRPr="00DA4E16">
              <w:rPr>
                <w:rFonts w:ascii="Calibri" w:eastAsia="Times New Roman" w:hAnsi="Calibri" w:cs="Times New Roman"/>
                <w:b/>
                <w:bCs/>
                <w:color w:val="000000"/>
                <w:szCs w:val="18"/>
                <w:lang w:eastAsia="nb-NO"/>
              </w:rPr>
              <w:t>Konsern</w:t>
            </w:r>
          </w:p>
        </w:tc>
      </w:tr>
      <w:tr w:rsidR="00DA4E16" w:rsidRPr="00DA4E16" w:rsidTr="00DA4E16">
        <w:trPr>
          <w:trHeight w:val="300"/>
        </w:trPr>
        <w:tc>
          <w:tcPr>
            <w:tcW w:w="1596" w:type="dxa"/>
            <w:tcBorders>
              <w:top w:val="nil"/>
              <w:left w:val="nil"/>
              <w:bottom w:val="single" w:sz="4" w:space="0" w:color="auto"/>
              <w:right w:val="nil"/>
            </w:tcBorders>
            <w:shd w:val="clear" w:color="000000" w:fill="FFFFFF"/>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-1.489.559</w:t>
            </w:r>
          </w:p>
        </w:tc>
        <w:tc>
          <w:tcPr>
            <w:tcW w:w="1216" w:type="dxa"/>
            <w:tcBorders>
              <w:top w:val="nil"/>
              <w:left w:val="nil"/>
              <w:bottom w:val="single" w:sz="4" w:space="0" w:color="auto"/>
              <w:right w:val="nil"/>
            </w:tcBorders>
            <w:shd w:val="clear" w:color="000000" w:fill="FFFFFF"/>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3.718.848</w:t>
            </w:r>
          </w:p>
        </w:tc>
        <w:tc>
          <w:tcPr>
            <w:tcW w:w="3596" w:type="dxa"/>
            <w:tcBorders>
              <w:top w:val="nil"/>
              <w:left w:val="nil"/>
              <w:bottom w:val="single" w:sz="4" w:space="0" w:color="auto"/>
              <w:right w:val="nil"/>
            </w:tcBorders>
            <w:shd w:val="clear" w:color="000000" w:fill="FFFFFF"/>
            <w:vAlign w:val="bottom"/>
            <w:hideMark/>
          </w:tcPr>
          <w:p w:rsidR="00DA4E16" w:rsidRPr="00DA4E16" w:rsidRDefault="00DA4E16" w:rsidP="00DA4E16">
            <w:pPr>
              <w:jc w:val="center"/>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Sum renterisiko</w:t>
            </w:r>
          </w:p>
        </w:tc>
        <w:tc>
          <w:tcPr>
            <w:tcW w:w="1216" w:type="dxa"/>
            <w:tcBorders>
              <w:top w:val="nil"/>
              <w:left w:val="nil"/>
              <w:bottom w:val="single" w:sz="4" w:space="0" w:color="auto"/>
              <w:right w:val="nil"/>
            </w:tcBorders>
            <w:shd w:val="clear" w:color="000000" w:fill="FFFFFF"/>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2.229.288</w:t>
            </w:r>
          </w:p>
        </w:tc>
      </w:tr>
      <w:tr w:rsidR="00DA4E16" w:rsidRPr="00DA4E16" w:rsidTr="00DA4E16">
        <w:trPr>
          <w:trHeight w:val="300"/>
        </w:trPr>
        <w:tc>
          <w:tcPr>
            <w:tcW w:w="1596" w:type="dxa"/>
            <w:tcBorders>
              <w:top w:val="nil"/>
              <w:left w:val="nil"/>
              <w:bottom w:val="nil"/>
              <w:right w:val="nil"/>
            </w:tcBorders>
            <w:shd w:val="clear" w:color="000000" w:fill="FFFFFF"/>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234.944</w:t>
            </w:r>
          </w:p>
        </w:tc>
        <w:tc>
          <w:tcPr>
            <w:tcW w:w="1216" w:type="dxa"/>
            <w:tcBorders>
              <w:top w:val="nil"/>
              <w:left w:val="nil"/>
              <w:bottom w:val="nil"/>
              <w:right w:val="nil"/>
            </w:tcBorders>
            <w:shd w:val="clear" w:color="000000" w:fill="FFFFFF"/>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-1.272.533</w:t>
            </w:r>
          </w:p>
        </w:tc>
        <w:tc>
          <w:tcPr>
            <w:tcW w:w="3596" w:type="dxa"/>
            <w:tcBorders>
              <w:top w:val="nil"/>
              <w:left w:val="nil"/>
              <w:bottom w:val="nil"/>
              <w:right w:val="nil"/>
            </w:tcBorders>
            <w:shd w:val="clear" w:color="000000" w:fill="FFFFFF"/>
            <w:noWrap/>
            <w:vAlign w:val="bottom"/>
            <w:hideMark/>
          </w:tcPr>
          <w:p w:rsidR="00DA4E16" w:rsidRPr="00DA4E16" w:rsidRDefault="00DA4E16" w:rsidP="00DA4E16">
            <w:pPr>
              <w:jc w:val="center"/>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 xml:space="preserve">3 </w:t>
            </w:r>
            <w:proofErr w:type="spellStart"/>
            <w:r w:rsidRPr="00DA4E16">
              <w:rPr>
                <w:rFonts w:ascii="Calibri" w:eastAsia="Times New Roman" w:hAnsi="Calibri" w:cs="Times New Roman"/>
                <w:color w:val="000000"/>
                <w:szCs w:val="18"/>
                <w:lang w:eastAsia="nb-NO"/>
              </w:rPr>
              <w:t>mnd</w:t>
            </w:r>
            <w:proofErr w:type="spellEnd"/>
            <w:r w:rsidRPr="00DA4E16">
              <w:rPr>
                <w:rFonts w:ascii="Calibri" w:eastAsia="Times New Roman" w:hAnsi="Calibri" w:cs="Times New Roman"/>
                <w:color w:val="000000"/>
                <w:szCs w:val="18"/>
                <w:lang w:eastAsia="nb-NO"/>
              </w:rPr>
              <w:t xml:space="preserve"> - 1 år</w:t>
            </w:r>
          </w:p>
        </w:tc>
        <w:tc>
          <w:tcPr>
            <w:tcW w:w="1216" w:type="dxa"/>
            <w:tcBorders>
              <w:top w:val="nil"/>
              <w:left w:val="nil"/>
              <w:bottom w:val="nil"/>
              <w:right w:val="nil"/>
            </w:tcBorders>
            <w:shd w:val="clear" w:color="000000" w:fill="FFFFFF"/>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-1.037.589</w:t>
            </w:r>
          </w:p>
        </w:tc>
      </w:tr>
      <w:tr w:rsidR="00DA4E16" w:rsidRPr="00DA4E16" w:rsidTr="00DA4E16">
        <w:trPr>
          <w:trHeight w:val="300"/>
        </w:trPr>
        <w:tc>
          <w:tcPr>
            <w:tcW w:w="1596" w:type="dxa"/>
            <w:tcBorders>
              <w:top w:val="nil"/>
              <w:left w:val="nil"/>
              <w:bottom w:val="nil"/>
              <w:right w:val="nil"/>
            </w:tcBorders>
            <w:shd w:val="clear" w:color="000000" w:fill="FFFFFF"/>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-272.027</w:t>
            </w:r>
          </w:p>
        </w:tc>
        <w:tc>
          <w:tcPr>
            <w:tcW w:w="1216" w:type="dxa"/>
            <w:tcBorders>
              <w:top w:val="nil"/>
              <w:left w:val="nil"/>
              <w:bottom w:val="nil"/>
              <w:right w:val="nil"/>
            </w:tcBorders>
            <w:shd w:val="clear" w:color="000000" w:fill="FFFFFF"/>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866.951</w:t>
            </w:r>
          </w:p>
        </w:tc>
        <w:tc>
          <w:tcPr>
            <w:tcW w:w="3596" w:type="dxa"/>
            <w:tcBorders>
              <w:top w:val="nil"/>
              <w:left w:val="nil"/>
              <w:bottom w:val="nil"/>
              <w:right w:val="nil"/>
            </w:tcBorders>
            <w:shd w:val="clear" w:color="000000" w:fill="FFFFFF"/>
            <w:noWrap/>
            <w:vAlign w:val="bottom"/>
            <w:hideMark/>
          </w:tcPr>
          <w:p w:rsidR="00DA4E16" w:rsidRPr="00DA4E16" w:rsidRDefault="00DA4E16" w:rsidP="00DA4E16">
            <w:pPr>
              <w:jc w:val="center"/>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1-3 år</w:t>
            </w:r>
          </w:p>
        </w:tc>
        <w:tc>
          <w:tcPr>
            <w:tcW w:w="1216" w:type="dxa"/>
            <w:tcBorders>
              <w:top w:val="nil"/>
              <w:left w:val="nil"/>
              <w:bottom w:val="nil"/>
              <w:right w:val="nil"/>
            </w:tcBorders>
            <w:shd w:val="clear" w:color="000000" w:fill="FFFFFF"/>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594.924</w:t>
            </w:r>
          </w:p>
        </w:tc>
      </w:tr>
      <w:tr w:rsidR="00DA4E16" w:rsidRPr="00DA4E16" w:rsidTr="00DA4E16">
        <w:trPr>
          <w:trHeight w:val="300"/>
        </w:trPr>
        <w:tc>
          <w:tcPr>
            <w:tcW w:w="1596" w:type="dxa"/>
            <w:tcBorders>
              <w:top w:val="nil"/>
              <w:left w:val="nil"/>
              <w:bottom w:val="nil"/>
              <w:right w:val="nil"/>
            </w:tcBorders>
            <w:shd w:val="clear" w:color="000000" w:fill="FFFFFF"/>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-859.057</w:t>
            </w:r>
          </w:p>
        </w:tc>
        <w:tc>
          <w:tcPr>
            <w:tcW w:w="1216" w:type="dxa"/>
            <w:tcBorders>
              <w:top w:val="nil"/>
              <w:left w:val="nil"/>
              <w:bottom w:val="nil"/>
              <w:right w:val="nil"/>
            </w:tcBorders>
            <w:shd w:val="clear" w:color="000000" w:fill="FFFFFF"/>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2.004.214</w:t>
            </w:r>
          </w:p>
        </w:tc>
        <w:tc>
          <w:tcPr>
            <w:tcW w:w="3596" w:type="dxa"/>
            <w:tcBorders>
              <w:top w:val="nil"/>
              <w:left w:val="nil"/>
              <w:bottom w:val="nil"/>
              <w:right w:val="nil"/>
            </w:tcBorders>
            <w:shd w:val="clear" w:color="000000" w:fill="FFFFFF"/>
            <w:noWrap/>
            <w:vAlign w:val="bottom"/>
            <w:hideMark/>
          </w:tcPr>
          <w:p w:rsidR="00DA4E16" w:rsidRPr="00DA4E16" w:rsidRDefault="00DA4E16" w:rsidP="00DA4E16">
            <w:pPr>
              <w:jc w:val="center"/>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3-5 år</w:t>
            </w:r>
          </w:p>
        </w:tc>
        <w:tc>
          <w:tcPr>
            <w:tcW w:w="1216" w:type="dxa"/>
            <w:tcBorders>
              <w:top w:val="nil"/>
              <w:left w:val="nil"/>
              <w:bottom w:val="nil"/>
              <w:right w:val="nil"/>
            </w:tcBorders>
            <w:shd w:val="clear" w:color="000000" w:fill="FFFFFF"/>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1.145.157</w:t>
            </w:r>
          </w:p>
        </w:tc>
      </w:tr>
      <w:tr w:rsidR="00DA4E16" w:rsidRPr="00DA4E16" w:rsidTr="00DA4E16">
        <w:trPr>
          <w:trHeight w:val="300"/>
        </w:trPr>
        <w:tc>
          <w:tcPr>
            <w:tcW w:w="1596" w:type="dxa"/>
            <w:tcBorders>
              <w:top w:val="nil"/>
              <w:left w:val="nil"/>
              <w:bottom w:val="nil"/>
              <w:right w:val="nil"/>
            </w:tcBorders>
            <w:shd w:val="clear" w:color="auto" w:fill="auto"/>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-593.419</w:t>
            </w:r>
          </w:p>
        </w:tc>
        <w:tc>
          <w:tcPr>
            <w:tcW w:w="1216" w:type="dxa"/>
            <w:tcBorders>
              <w:top w:val="nil"/>
              <w:left w:val="nil"/>
              <w:bottom w:val="nil"/>
              <w:right w:val="nil"/>
            </w:tcBorders>
            <w:shd w:val="clear" w:color="auto" w:fill="auto"/>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2.120.215</w:t>
            </w:r>
          </w:p>
        </w:tc>
        <w:tc>
          <w:tcPr>
            <w:tcW w:w="3596" w:type="dxa"/>
            <w:tcBorders>
              <w:top w:val="nil"/>
              <w:left w:val="nil"/>
              <w:bottom w:val="nil"/>
              <w:right w:val="nil"/>
            </w:tcBorders>
            <w:shd w:val="clear" w:color="auto" w:fill="auto"/>
            <w:noWrap/>
            <w:vAlign w:val="bottom"/>
            <w:hideMark/>
          </w:tcPr>
          <w:p w:rsidR="00DA4E16" w:rsidRPr="00DA4E16" w:rsidRDefault="00DA4E16" w:rsidP="00DA4E16">
            <w:pPr>
              <w:jc w:val="center"/>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5 år +</w:t>
            </w:r>
          </w:p>
        </w:tc>
        <w:tc>
          <w:tcPr>
            <w:tcW w:w="1216" w:type="dxa"/>
            <w:tcBorders>
              <w:top w:val="nil"/>
              <w:left w:val="nil"/>
              <w:bottom w:val="nil"/>
              <w:right w:val="nil"/>
            </w:tcBorders>
            <w:shd w:val="clear" w:color="000000" w:fill="FFFFFF"/>
            <w:noWrap/>
            <w:vAlign w:val="bottom"/>
            <w:hideMark/>
          </w:tcPr>
          <w:p w:rsidR="00DA4E16" w:rsidRPr="00DA4E16" w:rsidRDefault="00DA4E16" w:rsidP="00DA4E16">
            <w:pPr>
              <w:jc w:val="right"/>
              <w:rPr>
                <w:rFonts w:ascii="Calibri" w:eastAsia="Times New Roman" w:hAnsi="Calibri" w:cs="Times New Roman"/>
                <w:color w:val="000000"/>
                <w:szCs w:val="18"/>
                <w:lang w:eastAsia="nb-NO"/>
              </w:rPr>
            </w:pPr>
            <w:r w:rsidRPr="00DA4E16">
              <w:rPr>
                <w:rFonts w:ascii="Calibri" w:eastAsia="Times New Roman" w:hAnsi="Calibri" w:cs="Times New Roman"/>
                <w:color w:val="000000"/>
                <w:szCs w:val="18"/>
                <w:lang w:eastAsia="nb-NO"/>
              </w:rPr>
              <w:t>1.526.796</w:t>
            </w:r>
          </w:p>
        </w:tc>
      </w:tr>
    </w:tbl>
    <w:p w:rsidR="00DA4E16" w:rsidRDefault="00DA4E16" w:rsidP="00FF3376"/>
    <w:p w:rsidR="00C12C6C" w:rsidRDefault="00C12C6C">
      <w:pPr>
        <w:spacing w:after="200" w:line="276" w:lineRule="auto"/>
        <w:rPr>
          <w:b/>
          <w:szCs w:val="18"/>
        </w:rPr>
      </w:pPr>
      <w:r>
        <w:br w:type="page"/>
      </w:r>
    </w:p>
    <w:p w:rsidR="00AD22D5" w:rsidRPr="00AD22D5" w:rsidRDefault="00DA4E16" w:rsidP="00AD22D5">
      <w:pPr>
        <w:pStyle w:val="Overskrift3"/>
      </w:pPr>
      <w:bookmarkStart w:id="41" w:name="_Toc387671282"/>
      <w:r>
        <w:t>Valutar</w:t>
      </w:r>
      <w:r w:rsidR="00AD22D5">
        <w:t>isiko</w:t>
      </w:r>
      <w:bookmarkEnd w:id="41"/>
    </w:p>
    <w:p w:rsidR="00AB026C" w:rsidRDefault="00DA4E16" w:rsidP="00FF3376">
      <w:r>
        <w:t>Konser</w:t>
      </w:r>
      <w:r w:rsidR="00AD22D5">
        <w:t>nets eksponering mot valutarisiko</w:t>
      </w:r>
      <w:r>
        <w:t xml:space="preserve"> kommer som følge av bruk av rammer for egenhandel av valuta, nødvendig beholdning av konti i utenlands valuta, kassebeholdning av valuta samt "effe</w:t>
      </w:r>
      <w:r w:rsidR="00DD4402">
        <w:t>kt" av bankens utlånsportefølje</w:t>
      </w:r>
      <w:r>
        <w:t xml:space="preserve"> denominert i utenlandsk valuta.</w:t>
      </w:r>
    </w:p>
    <w:p w:rsidR="00AB026C" w:rsidRDefault="00AB026C" w:rsidP="00FF3376"/>
    <w:p w:rsidR="00AB026C" w:rsidRDefault="00DD4402" w:rsidP="00FF3376">
      <w:r>
        <w:t xml:space="preserve">Det er ingen valutarisiko </w:t>
      </w:r>
      <w:r w:rsidR="00AB026C">
        <w:t xml:space="preserve"> i SSB Boligkreditt. Tabellen under viser ko</w:t>
      </w:r>
      <w:r>
        <w:t xml:space="preserve">nsernets netto valutaeksponering </w:t>
      </w:r>
      <w:r w:rsidR="00AB026C">
        <w:t xml:space="preserve"> ved utgangen av 2013:</w:t>
      </w:r>
    </w:p>
    <w:p w:rsidR="00AB026C" w:rsidRDefault="00AB026C" w:rsidP="00FF3376"/>
    <w:p w:rsidR="00CB49EC" w:rsidRDefault="00CB49EC" w:rsidP="00CB49EC">
      <w:pPr>
        <w:pStyle w:val="Bildetekst"/>
      </w:pPr>
      <w:bookmarkStart w:id="42" w:name="_Toc387671309"/>
      <w:r>
        <w:t xml:space="preserve">Tabell </w:t>
      </w:r>
      <w:r w:rsidR="00E42F82">
        <w:fldChar w:fldCharType="begin"/>
      </w:r>
      <w:r w:rsidR="00E42F82">
        <w:instrText xml:space="preserve"> SEQ Tabell \* ARABIC </w:instrText>
      </w:r>
      <w:r w:rsidR="00E42F82">
        <w:fldChar w:fldCharType="separate"/>
      </w:r>
      <w:r>
        <w:rPr>
          <w:noProof/>
        </w:rPr>
        <w:t>11</w:t>
      </w:r>
      <w:r w:rsidR="00E42F82">
        <w:rPr>
          <w:noProof/>
        </w:rPr>
        <w:fldChar w:fldCharType="end"/>
      </w:r>
      <w:r>
        <w:t xml:space="preserve"> Eksponering markedsrisiko - valutaris</w:t>
      </w:r>
      <w:r w:rsidR="00DD4402">
        <w:t>i</w:t>
      </w:r>
      <w:r>
        <w:t>ko</w:t>
      </w:r>
      <w:bookmarkEnd w:id="42"/>
    </w:p>
    <w:p w:rsidR="00CB49EC" w:rsidRDefault="00CB49EC" w:rsidP="00FF3376"/>
    <w:tbl>
      <w:tblPr>
        <w:tblW w:w="5000" w:type="pct"/>
        <w:tblCellMar>
          <w:left w:w="70" w:type="dxa"/>
          <w:right w:w="70" w:type="dxa"/>
        </w:tblCellMar>
        <w:tblLook w:val="04A0" w:firstRow="1" w:lastRow="0" w:firstColumn="1" w:lastColumn="0" w:noHBand="0" w:noVBand="1"/>
      </w:tblPr>
      <w:tblGrid>
        <w:gridCol w:w="1923"/>
        <w:gridCol w:w="947"/>
        <w:gridCol w:w="807"/>
        <w:gridCol w:w="807"/>
        <w:gridCol w:w="807"/>
        <w:gridCol w:w="947"/>
        <w:gridCol w:w="564"/>
        <w:gridCol w:w="619"/>
        <w:gridCol w:w="619"/>
        <w:gridCol w:w="507"/>
        <w:gridCol w:w="665"/>
      </w:tblGrid>
      <w:tr w:rsidR="00AB026C" w:rsidRPr="00C12C6C" w:rsidTr="00C12C6C">
        <w:trPr>
          <w:trHeight w:val="495"/>
        </w:trPr>
        <w:tc>
          <w:tcPr>
            <w:tcW w:w="1044" w:type="pct"/>
            <w:tcBorders>
              <w:top w:val="nil"/>
              <w:left w:val="nil"/>
              <w:bottom w:val="nil"/>
              <w:right w:val="nil"/>
            </w:tcBorders>
            <w:shd w:val="clear" w:color="000000" w:fill="D9D9D9"/>
            <w:noWrap/>
            <w:vAlign w:val="bottom"/>
            <w:hideMark/>
          </w:tcPr>
          <w:p w:rsidR="00AB026C" w:rsidRPr="00AB026C" w:rsidRDefault="00AB026C" w:rsidP="00AB026C">
            <w:pPr>
              <w:rPr>
                <w:rFonts w:ascii="Calibri" w:eastAsia="Times New Roman" w:hAnsi="Calibri" w:cs="Arial"/>
                <w:b/>
                <w:bCs/>
                <w:szCs w:val="18"/>
                <w:lang w:eastAsia="nb-NO"/>
              </w:rPr>
            </w:pPr>
            <w:r w:rsidRPr="00AB026C">
              <w:rPr>
                <w:rFonts w:ascii="Calibri" w:eastAsia="Times New Roman" w:hAnsi="Calibri" w:cs="Arial"/>
                <w:b/>
                <w:bCs/>
                <w:szCs w:val="18"/>
                <w:lang w:eastAsia="nb-NO"/>
              </w:rPr>
              <w:t>Valutaposisjoner 2013</w:t>
            </w:r>
          </w:p>
        </w:tc>
        <w:tc>
          <w:tcPr>
            <w:tcW w:w="514" w:type="pct"/>
            <w:tcBorders>
              <w:top w:val="nil"/>
              <w:left w:val="nil"/>
              <w:bottom w:val="nil"/>
              <w:right w:val="nil"/>
            </w:tcBorders>
            <w:shd w:val="clear" w:color="000000" w:fill="D9D9D9"/>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valuta</w:t>
            </w:r>
          </w:p>
        </w:tc>
        <w:tc>
          <w:tcPr>
            <w:tcW w:w="438" w:type="pct"/>
            <w:tcBorders>
              <w:top w:val="nil"/>
              <w:left w:val="nil"/>
              <w:bottom w:val="nil"/>
              <w:right w:val="nil"/>
            </w:tcBorders>
            <w:shd w:val="clear" w:color="000000" w:fill="D9D9D9"/>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USD</w:t>
            </w:r>
          </w:p>
        </w:tc>
        <w:tc>
          <w:tcPr>
            <w:tcW w:w="438" w:type="pct"/>
            <w:tcBorders>
              <w:top w:val="nil"/>
              <w:left w:val="nil"/>
              <w:bottom w:val="nil"/>
              <w:right w:val="nil"/>
            </w:tcBorders>
            <w:shd w:val="clear" w:color="000000" w:fill="D9D9D9"/>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EUR</w:t>
            </w:r>
          </w:p>
        </w:tc>
        <w:tc>
          <w:tcPr>
            <w:tcW w:w="438" w:type="pct"/>
            <w:tcBorders>
              <w:top w:val="nil"/>
              <w:left w:val="nil"/>
              <w:bottom w:val="nil"/>
              <w:right w:val="nil"/>
            </w:tcBorders>
            <w:shd w:val="clear" w:color="000000" w:fill="D9D9D9"/>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JPY</w:t>
            </w:r>
          </w:p>
        </w:tc>
        <w:tc>
          <w:tcPr>
            <w:tcW w:w="514" w:type="pct"/>
            <w:tcBorders>
              <w:top w:val="nil"/>
              <w:left w:val="nil"/>
              <w:bottom w:val="nil"/>
              <w:right w:val="nil"/>
            </w:tcBorders>
            <w:shd w:val="clear" w:color="000000" w:fill="D9D9D9"/>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CHF</w:t>
            </w:r>
          </w:p>
        </w:tc>
        <w:tc>
          <w:tcPr>
            <w:tcW w:w="306" w:type="pct"/>
            <w:tcBorders>
              <w:top w:val="nil"/>
              <w:left w:val="nil"/>
              <w:bottom w:val="nil"/>
              <w:right w:val="nil"/>
            </w:tcBorders>
            <w:shd w:val="clear" w:color="000000" w:fill="D9D9D9"/>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GBP</w:t>
            </w:r>
          </w:p>
        </w:tc>
        <w:tc>
          <w:tcPr>
            <w:tcW w:w="336" w:type="pct"/>
            <w:tcBorders>
              <w:top w:val="nil"/>
              <w:left w:val="nil"/>
              <w:bottom w:val="nil"/>
              <w:right w:val="nil"/>
            </w:tcBorders>
            <w:shd w:val="clear" w:color="000000" w:fill="D9D9D9"/>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SEK</w:t>
            </w:r>
          </w:p>
        </w:tc>
        <w:tc>
          <w:tcPr>
            <w:tcW w:w="336" w:type="pct"/>
            <w:tcBorders>
              <w:top w:val="nil"/>
              <w:left w:val="nil"/>
              <w:bottom w:val="nil"/>
              <w:right w:val="nil"/>
            </w:tcBorders>
            <w:shd w:val="clear" w:color="000000" w:fill="D9D9D9"/>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DKK</w:t>
            </w:r>
          </w:p>
        </w:tc>
        <w:tc>
          <w:tcPr>
            <w:tcW w:w="275" w:type="pct"/>
            <w:tcBorders>
              <w:top w:val="nil"/>
              <w:left w:val="nil"/>
              <w:bottom w:val="nil"/>
              <w:right w:val="nil"/>
            </w:tcBorders>
            <w:shd w:val="clear" w:color="000000" w:fill="D9D9D9"/>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CAD</w:t>
            </w:r>
          </w:p>
        </w:tc>
        <w:tc>
          <w:tcPr>
            <w:tcW w:w="361" w:type="pct"/>
            <w:tcBorders>
              <w:top w:val="nil"/>
              <w:left w:val="nil"/>
              <w:bottom w:val="nil"/>
              <w:right w:val="nil"/>
            </w:tcBorders>
            <w:shd w:val="clear" w:color="000000" w:fill="D9D9D9"/>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Annen</w:t>
            </w:r>
          </w:p>
        </w:tc>
      </w:tr>
      <w:tr w:rsidR="00AB026C" w:rsidRPr="00C12C6C" w:rsidTr="00C12C6C">
        <w:trPr>
          <w:trHeight w:val="495"/>
        </w:trPr>
        <w:tc>
          <w:tcPr>
            <w:tcW w:w="1044" w:type="pct"/>
            <w:tcBorders>
              <w:top w:val="nil"/>
              <w:left w:val="nil"/>
              <w:bottom w:val="nil"/>
              <w:right w:val="nil"/>
            </w:tcBorders>
            <w:shd w:val="clear" w:color="000000" w:fill="FFFFFF"/>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Kontanter og fordringer på sentralbanker</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2.149</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166</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1.625</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238</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120</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r>
      <w:tr w:rsidR="00AB026C" w:rsidRPr="00C12C6C" w:rsidTr="00C12C6C">
        <w:trPr>
          <w:trHeight w:val="495"/>
        </w:trPr>
        <w:tc>
          <w:tcPr>
            <w:tcW w:w="1044" w:type="pct"/>
            <w:tcBorders>
              <w:top w:val="nil"/>
              <w:left w:val="nil"/>
              <w:bottom w:val="nil"/>
              <w:right w:val="nil"/>
            </w:tcBorders>
            <w:shd w:val="clear" w:color="000000" w:fill="FFFFFF"/>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xml:space="preserve">Utlån til kredittinstitusjoner </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94.592</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17.415</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67.831</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55</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112</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4.656</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226</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1.980</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111</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2.208</w:t>
            </w:r>
          </w:p>
        </w:tc>
      </w:tr>
      <w:tr w:rsidR="00AB026C" w:rsidRPr="00C12C6C" w:rsidTr="00C12C6C">
        <w:trPr>
          <w:trHeight w:val="300"/>
        </w:trPr>
        <w:tc>
          <w:tcPr>
            <w:tcW w:w="1044" w:type="pct"/>
            <w:tcBorders>
              <w:top w:val="nil"/>
              <w:left w:val="nil"/>
              <w:bottom w:val="nil"/>
              <w:right w:val="nil"/>
            </w:tcBorders>
            <w:shd w:val="clear" w:color="000000" w:fill="FFFFFF"/>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Utlån til kunder</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1.692.547</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155.557</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399.441</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128.939</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1.006.712</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1.899</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r>
      <w:tr w:rsidR="00AB026C" w:rsidRPr="00C12C6C" w:rsidTr="00C12C6C">
        <w:trPr>
          <w:trHeight w:val="495"/>
        </w:trPr>
        <w:tc>
          <w:tcPr>
            <w:tcW w:w="1044" w:type="pct"/>
            <w:tcBorders>
              <w:top w:val="nil"/>
              <w:left w:val="nil"/>
              <w:bottom w:val="nil"/>
              <w:right w:val="nil"/>
            </w:tcBorders>
            <w:shd w:val="clear" w:color="000000" w:fill="FFFFFF"/>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xml:space="preserve">Sertifikater, obligasjoner </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503.164</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41.861</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461.302</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r>
      <w:tr w:rsidR="00AB026C" w:rsidRPr="00C12C6C" w:rsidTr="00C12C6C">
        <w:trPr>
          <w:trHeight w:val="300"/>
        </w:trPr>
        <w:tc>
          <w:tcPr>
            <w:tcW w:w="1044" w:type="pct"/>
            <w:tcBorders>
              <w:top w:val="nil"/>
              <w:left w:val="nil"/>
              <w:bottom w:val="nil"/>
              <w:right w:val="nil"/>
            </w:tcBorders>
            <w:shd w:val="clear" w:color="000000" w:fill="FFFFFF"/>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Øvrige eiendeler</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13.874</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13.874</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r>
      <w:tr w:rsidR="00AB026C" w:rsidRPr="00C12C6C" w:rsidTr="00C12C6C">
        <w:trPr>
          <w:trHeight w:val="300"/>
        </w:trPr>
        <w:tc>
          <w:tcPr>
            <w:tcW w:w="1044" w:type="pct"/>
            <w:tcBorders>
              <w:top w:val="single" w:sz="4" w:space="0" w:color="auto"/>
              <w:left w:val="nil"/>
              <w:bottom w:val="single" w:sz="4" w:space="0" w:color="auto"/>
              <w:right w:val="nil"/>
            </w:tcBorders>
            <w:shd w:val="clear" w:color="000000" w:fill="FFFFFF"/>
            <w:vAlign w:val="bottom"/>
            <w:hideMark/>
          </w:tcPr>
          <w:p w:rsidR="00AB026C" w:rsidRPr="00AB026C" w:rsidRDefault="00AB026C" w:rsidP="00AB026C">
            <w:pPr>
              <w:rPr>
                <w:rFonts w:ascii="Calibri" w:eastAsia="Times New Roman" w:hAnsi="Calibri" w:cs="Arial"/>
                <w:b/>
                <w:bCs/>
                <w:szCs w:val="18"/>
                <w:lang w:eastAsia="nb-NO"/>
              </w:rPr>
            </w:pPr>
            <w:r w:rsidRPr="00AB026C">
              <w:rPr>
                <w:rFonts w:ascii="Calibri" w:eastAsia="Times New Roman" w:hAnsi="Calibri" w:cs="Arial"/>
                <w:b/>
                <w:bCs/>
                <w:szCs w:val="18"/>
                <w:lang w:eastAsia="nb-NO"/>
              </w:rPr>
              <w:t>Sum eiendeler</w:t>
            </w:r>
          </w:p>
        </w:tc>
        <w:tc>
          <w:tcPr>
            <w:tcW w:w="514"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2.306.326</w:t>
            </w:r>
          </w:p>
        </w:tc>
        <w:tc>
          <w:tcPr>
            <w:tcW w:w="438"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228.873</w:t>
            </w:r>
          </w:p>
        </w:tc>
        <w:tc>
          <w:tcPr>
            <w:tcW w:w="438"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930.199</w:t>
            </w:r>
          </w:p>
        </w:tc>
        <w:tc>
          <w:tcPr>
            <w:tcW w:w="438"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128.993</w:t>
            </w:r>
          </w:p>
        </w:tc>
        <w:tc>
          <w:tcPr>
            <w:tcW w:w="514"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1.006.824</w:t>
            </w:r>
          </w:p>
        </w:tc>
        <w:tc>
          <w:tcPr>
            <w:tcW w:w="306"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4.894</w:t>
            </w:r>
          </w:p>
        </w:tc>
        <w:tc>
          <w:tcPr>
            <w:tcW w:w="336"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2.125</w:t>
            </w:r>
          </w:p>
        </w:tc>
        <w:tc>
          <w:tcPr>
            <w:tcW w:w="336"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2.100</w:t>
            </w:r>
          </w:p>
        </w:tc>
        <w:tc>
          <w:tcPr>
            <w:tcW w:w="275"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111</w:t>
            </w:r>
          </w:p>
        </w:tc>
        <w:tc>
          <w:tcPr>
            <w:tcW w:w="361"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2.208</w:t>
            </w:r>
          </w:p>
        </w:tc>
      </w:tr>
      <w:tr w:rsidR="00AB026C" w:rsidRPr="00C12C6C" w:rsidTr="00C12C6C">
        <w:trPr>
          <w:trHeight w:val="300"/>
        </w:trPr>
        <w:tc>
          <w:tcPr>
            <w:tcW w:w="1044" w:type="pct"/>
            <w:tcBorders>
              <w:top w:val="nil"/>
              <w:left w:val="nil"/>
              <w:bottom w:val="nil"/>
              <w:right w:val="nil"/>
            </w:tcBorders>
            <w:shd w:val="clear" w:color="000000" w:fill="FFFFFF"/>
            <w:noWrap/>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w:t>
            </w:r>
          </w:p>
        </w:tc>
      </w:tr>
      <w:tr w:rsidR="00AB026C" w:rsidRPr="00C12C6C" w:rsidTr="00C12C6C">
        <w:trPr>
          <w:trHeight w:val="495"/>
        </w:trPr>
        <w:tc>
          <w:tcPr>
            <w:tcW w:w="1044" w:type="pct"/>
            <w:tcBorders>
              <w:top w:val="nil"/>
              <w:left w:val="nil"/>
              <w:bottom w:val="nil"/>
              <w:right w:val="nil"/>
            </w:tcBorders>
            <w:shd w:val="clear" w:color="000000" w:fill="FFFFFF"/>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Gjeld til kredittinstitusjoner</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r>
      <w:tr w:rsidR="00AB026C" w:rsidRPr="00C12C6C" w:rsidTr="00C12C6C">
        <w:trPr>
          <w:trHeight w:val="300"/>
        </w:trPr>
        <w:tc>
          <w:tcPr>
            <w:tcW w:w="1044" w:type="pct"/>
            <w:tcBorders>
              <w:top w:val="nil"/>
              <w:left w:val="nil"/>
              <w:bottom w:val="nil"/>
              <w:right w:val="nil"/>
            </w:tcBorders>
            <w:shd w:val="clear" w:color="000000" w:fill="FFFFFF"/>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Innskudd fra kunder</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37.502</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20.151</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10.958</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75</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175</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4.875</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618</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35</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25</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590</w:t>
            </w:r>
          </w:p>
        </w:tc>
      </w:tr>
      <w:tr w:rsidR="00AB026C" w:rsidRPr="00C12C6C" w:rsidTr="00C12C6C">
        <w:trPr>
          <w:trHeight w:val="735"/>
        </w:trPr>
        <w:tc>
          <w:tcPr>
            <w:tcW w:w="1044" w:type="pct"/>
            <w:tcBorders>
              <w:top w:val="nil"/>
              <w:left w:val="nil"/>
              <w:bottom w:val="nil"/>
              <w:right w:val="nil"/>
            </w:tcBorders>
            <w:shd w:val="clear" w:color="000000" w:fill="FFFFFF"/>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Gjeld stiftet ved utstedelse av verdipapirer</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r>
      <w:tr w:rsidR="00AB026C" w:rsidRPr="00C12C6C" w:rsidTr="00C12C6C">
        <w:trPr>
          <w:trHeight w:val="300"/>
        </w:trPr>
        <w:tc>
          <w:tcPr>
            <w:tcW w:w="1044" w:type="pct"/>
            <w:tcBorders>
              <w:top w:val="nil"/>
              <w:left w:val="nil"/>
              <w:bottom w:val="nil"/>
              <w:right w:val="nil"/>
            </w:tcBorders>
            <w:shd w:val="clear" w:color="000000" w:fill="FFFFFF"/>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Øvrig gjeld</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r>
      <w:tr w:rsidR="00AB026C" w:rsidRPr="00C12C6C" w:rsidTr="00C12C6C">
        <w:trPr>
          <w:trHeight w:val="300"/>
        </w:trPr>
        <w:tc>
          <w:tcPr>
            <w:tcW w:w="1044" w:type="pct"/>
            <w:tcBorders>
              <w:top w:val="nil"/>
              <w:left w:val="nil"/>
              <w:bottom w:val="nil"/>
              <w:right w:val="nil"/>
            </w:tcBorders>
            <w:shd w:val="clear" w:color="000000" w:fill="FFFFFF"/>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Ansvarlig lån</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r>
      <w:tr w:rsidR="00AB026C" w:rsidRPr="00C12C6C" w:rsidTr="00C12C6C">
        <w:trPr>
          <w:trHeight w:val="300"/>
        </w:trPr>
        <w:tc>
          <w:tcPr>
            <w:tcW w:w="1044" w:type="pct"/>
            <w:tcBorders>
              <w:top w:val="nil"/>
              <w:left w:val="nil"/>
              <w:bottom w:val="nil"/>
              <w:right w:val="nil"/>
            </w:tcBorders>
            <w:shd w:val="clear" w:color="000000" w:fill="FFFFFF"/>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Egenkapital</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 </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r>
      <w:tr w:rsidR="00AB026C" w:rsidRPr="00C12C6C" w:rsidTr="00C12C6C">
        <w:trPr>
          <w:trHeight w:val="495"/>
        </w:trPr>
        <w:tc>
          <w:tcPr>
            <w:tcW w:w="1044" w:type="pct"/>
            <w:tcBorders>
              <w:top w:val="single" w:sz="4" w:space="0" w:color="auto"/>
              <w:left w:val="nil"/>
              <w:bottom w:val="single" w:sz="4" w:space="0" w:color="auto"/>
              <w:right w:val="nil"/>
            </w:tcBorders>
            <w:shd w:val="clear" w:color="000000" w:fill="FFFFFF"/>
            <w:vAlign w:val="bottom"/>
            <w:hideMark/>
          </w:tcPr>
          <w:p w:rsidR="00AB026C" w:rsidRPr="00AB026C" w:rsidRDefault="00AB026C" w:rsidP="00AB026C">
            <w:pPr>
              <w:rPr>
                <w:rFonts w:ascii="Calibri" w:eastAsia="Times New Roman" w:hAnsi="Calibri" w:cs="Arial"/>
                <w:b/>
                <w:bCs/>
                <w:szCs w:val="18"/>
                <w:lang w:eastAsia="nb-NO"/>
              </w:rPr>
            </w:pPr>
            <w:r w:rsidRPr="00AB026C">
              <w:rPr>
                <w:rFonts w:ascii="Calibri" w:eastAsia="Times New Roman" w:hAnsi="Calibri" w:cs="Arial"/>
                <w:b/>
                <w:bCs/>
                <w:szCs w:val="18"/>
                <w:lang w:eastAsia="nb-NO"/>
              </w:rPr>
              <w:t>Sum gjeld og egenkapital</w:t>
            </w:r>
          </w:p>
        </w:tc>
        <w:tc>
          <w:tcPr>
            <w:tcW w:w="514"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37.502</w:t>
            </w:r>
          </w:p>
        </w:tc>
        <w:tc>
          <w:tcPr>
            <w:tcW w:w="438"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20.151</w:t>
            </w:r>
          </w:p>
        </w:tc>
        <w:tc>
          <w:tcPr>
            <w:tcW w:w="438"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10.958</w:t>
            </w:r>
          </w:p>
        </w:tc>
        <w:tc>
          <w:tcPr>
            <w:tcW w:w="438"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75</w:t>
            </w:r>
          </w:p>
        </w:tc>
        <w:tc>
          <w:tcPr>
            <w:tcW w:w="514"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175</w:t>
            </w:r>
          </w:p>
        </w:tc>
        <w:tc>
          <w:tcPr>
            <w:tcW w:w="306"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4.875</w:t>
            </w:r>
          </w:p>
        </w:tc>
        <w:tc>
          <w:tcPr>
            <w:tcW w:w="336"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618</w:t>
            </w:r>
          </w:p>
        </w:tc>
        <w:tc>
          <w:tcPr>
            <w:tcW w:w="336"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35</w:t>
            </w:r>
          </w:p>
        </w:tc>
        <w:tc>
          <w:tcPr>
            <w:tcW w:w="275"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25</w:t>
            </w:r>
          </w:p>
        </w:tc>
        <w:tc>
          <w:tcPr>
            <w:tcW w:w="361"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590</w:t>
            </w:r>
          </w:p>
        </w:tc>
      </w:tr>
      <w:tr w:rsidR="00AB026C" w:rsidRPr="00C12C6C" w:rsidTr="00C12C6C">
        <w:trPr>
          <w:trHeight w:val="735"/>
        </w:trPr>
        <w:tc>
          <w:tcPr>
            <w:tcW w:w="1044" w:type="pct"/>
            <w:tcBorders>
              <w:top w:val="nil"/>
              <w:left w:val="nil"/>
              <w:bottom w:val="nil"/>
              <w:right w:val="nil"/>
            </w:tcBorders>
            <w:shd w:val="clear" w:color="000000" w:fill="FFFFFF"/>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Netto valutaeksponering på balanseposter</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2.268.824</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208.722</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919.241</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128.918</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1.006.649</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19</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1.507</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2.065</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86</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1.618</w:t>
            </w:r>
          </w:p>
        </w:tc>
      </w:tr>
      <w:tr w:rsidR="00AB026C" w:rsidRPr="00C12C6C" w:rsidTr="00C12C6C">
        <w:trPr>
          <w:trHeight w:val="300"/>
        </w:trPr>
        <w:tc>
          <w:tcPr>
            <w:tcW w:w="1044" w:type="pct"/>
            <w:tcBorders>
              <w:top w:val="nil"/>
              <w:left w:val="nil"/>
              <w:bottom w:val="nil"/>
              <w:right w:val="nil"/>
            </w:tcBorders>
            <w:shd w:val="clear" w:color="000000" w:fill="FFFFFF"/>
            <w:vAlign w:val="bottom"/>
            <w:hideMark/>
          </w:tcPr>
          <w:p w:rsidR="00AB026C" w:rsidRPr="00AB026C" w:rsidRDefault="00AB026C" w:rsidP="00AB026C">
            <w:pPr>
              <w:rPr>
                <w:rFonts w:ascii="Calibri" w:eastAsia="Times New Roman" w:hAnsi="Calibri" w:cs="Arial"/>
                <w:szCs w:val="18"/>
                <w:lang w:eastAsia="nb-NO"/>
              </w:rPr>
            </w:pPr>
            <w:r w:rsidRPr="00AB026C">
              <w:rPr>
                <w:rFonts w:ascii="Calibri" w:eastAsia="Times New Roman" w:hAnsi="Calibri" w:cs="Arial"/>
                <w:szCs w:val="18"/>
                <w:lang w:eastAsia="nb-NO"/>
              </w:rPr>
              <w:t>Valutasikring</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-2.327.536</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-172.689</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-918.972</w:t>
            </w:r>
          </w:p>
        </w:tc>
        <w:tc>
          <w:tcPr>
            <w:tcW w:w="438"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-128.943</w:t>
            </w:r>
          </w:p>
        </w:tc>
        <w:tc>
          <w:tcPr>
            <w:tcW w:w="514"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-1.103.125</w:t>
            </w:r>
          </w:p>
        </w:tc>
        <w:tc>
          <w:tcPr>
            <w:tcW w:w="30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-1.899</w:t>
            </w:r>
          </w:p>
        </w:tc>
        <w:tc>
          <w:tcPr>
            <w:tcW w:w="336"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-1.909</w:t>
            </w:r>
          </w:p>
        </w:tc>
        <w:tc>
          <w:tcPr>
            <w:tcW w:w="275"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c>
          <w:tcPr>
            <w:tcW w:w="361" w:type="pct"/>
            <w:tcBorders>
              <w:top w:val="nil"/>
              <w:left w:val="nil"/>
              <w:bottom w:val="nil"/>
              <w:right w:val="nil"/>
            </w:tcBorders>
            <w:shd w:val="clear" w:color="000000" w:fill="FFFFFF"/>
            <w:noWrap/>
            <w:vAlign w:val="bottom"/>
            <w:hideMark/>
          </w:tcPr>
          <w:p w:rsidR="00AB026C" w:rsidRPr="00AB026C" w:rsidRDefault="00AB026C" w:rsidP="00AB026C">
            <w:pPr>
              <w:jc w:val="right"/>
              <w:rPr>
                <w:rFonts w:ascii="Calibri" w:eastAsia="Times New Roman" w:hAnsi="Calibri" w:cs="Arial"/>
                <w:szCs w:val="18"/>
                <w:lang w:eastAsia="nb-NO"/>
              </w:rPr>
            </w:pPr>
            <w:r w:rsidRPr="00AB026C">
              <w:rPr>
                <w:rFonts w:ascii="Calibri" w:eastAsia="Times New Roman" w:hAnsi="Calibri" w:cs="Arial"/>
                <w:szCs w:val="18"/>
                <w:lang w:eastAsia="nb-NO"/>
              </w:rPr>
              <w:t>0</w:t>
            </w:r>
          </w:p>
        </w:tc>
      </w:tr>
      <w:tr w:rsidR="00AB026C" w:rsidRPr="00C12C6C" w:rsidTr="00C12C6C">
        <w:trPr>
          <w:trHeight w:val="495"/>
        </w:trPr>
        <w:tc>
          <w:tcPr>
            <w:tcW w:w="1044" w:type="pct"/>
            <w:tcBorders>
              <w:top w:val="single" w:sz="4" w:space="0" w:color="auto"/>
              <w:left w:val="nil"/>
              <w:bottom w:val="single" w:sz="4" w:space="0" w:color="auto"/>
              <w:right w:val="nil"/>
            </w:tcBorders>
            <w:shd w:val="clear" w:color="000000" w:fill="FFFFFF"/>
            <w:vAlign w:val="bottom"/>
            <w:hideMark/>
          </w:tcPr>
          <w:p w:rsidR="00AB026C" w:rsidRPr="00AB026C" w:rsidRDefault="00AB026C" w:rsidP="00AB026C">
            <w:pPr>
              <w:rPr>
                <w:rFonts w:ascii="Calibri" w:eastAsia="Times New Roman" w:hAnsi="Calibri" w:cs="Arial"/>
                <w:b/>
                <w:bCs/>
                <w:szCs w:val="18"/>
                <w:lang w:eastAsia="nb-NO"/>
              </w:rPr>
            </w:pPr>
            <w:r w:rsidRPr="00AB026C">
              <w:rPr>
                <w:rFonts w:ascii="Calibri" w:eastAsia="Times New Roman" w:hAnsi="Calibri" w:cs="Arial"/>
                <w:b/>
                <w:bCs/>
                <w:szCs w:val="18"/>
                <w:lang w:eastAsia="nb-NO"/>
              </w:rPr>
              <w:t xml:space="preserve">Netto valutaeksponering </w:t>
            </w:r>
          </w:p>
        </w:tc>
        <w:tc>
          <w:tcPr>
            <w:tcW w:w="514"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-58.712</w:t>
            </w:r>
          </w:p>
        </w:tc>
        <w:tc>
          <w:tcPr>
            <w:tcW w:w="438"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36.033</w:t>
            </w:r>
          </w:p>
        </w:tc>
        <w:tc>
          <w:tcPr>
            <w:tcW w:w="438"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269</w:t>
            </w:r>
          </w:p>
        </w:tc>
        <w:tc>
          <w:tcPr>
            <w:tcW w:w="438"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-25</w:t>
            </w:r>
          </w:p>
        </w:tc>
        <w:tc>
          <w:tcPr>
            <w:tcW w:w="514"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-96.475</w:t>
            </w:r>
          </w:p>
        </w:tc>
        <w:tc>
          <w:tcPr>
            <w:tcW w:w="306"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19</w:t>
            </w:r>
          </w:p>
        </w:tc>
        <w:tc>
          <w:tcPr>
            <w:tcW w:w="336"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-392</w:t>
            </w:r>
          </w:p>
        </w:tc>
        <w:tc>
          <w:tcPr>
            <w:tcW w:w="336"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156</w:t>
            </w:r>
          </w:p>
        </w:tc>
        <w:tc>
          <w:tcPr>
            <w:tcW w:w="275"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86</w:t>
            </w:r>
          </w:p>
        </w:tc>
        <w:tc>
          <w:tcPr>
            <w:tcW w:w="361" w:type="pct"/>
            <w:tcBorders>
              <w:top w:val="single" w:sz="4" w:space="0" w:color="auto"/>
              <w:left w:val="nil"/>
              <w:bottom w:val="single" w:sz="4" w:space="0" w:color="auto"/>
              <w:right w:val="nil"/>
            </w:tcBorders>
            <w:shd w:val="clear" w:color="000000" w:fill="FFFFFF"/>
            <w:noWrap/>
            <w:vAlign w:val="bottom"/>
            <w:hideMark/>
          </w:tcPr>
          <w:p w:rsidR="00AB026C" w:rsidRPr="00AB026C" w:rsidRDefault="00AB026C" w:rsidP="00AB026C">
            <w:pPr>
              <w:jc w:val="right"/>
              <w:rPr>
                <w:rFonts w:ascii="Calibri" w:eastAsia="Times New Roman" w:hAnsi="Calibri" w:cs="Arial"/>
                <w:b/>
                <w:bCs/>
                <w:szCs w:val="18"/>
                <w:lang w:eastAsia="nb-NO"/>
              </w:rPr>
            </w:pPr>
            <w:r w:rsidRPr="00AB026C">
              <w:rPr>
                <w:rFonts w:ascii="Calibri" w:eastAsia="Times New Roman" w:hAnsi="Calibri" w:cs="Arial"/>
                <w:b/>
                <w:bCs/>
                <w:szCs w:val="18"/>
                <w:lang w:eastAsia="nb-NO"/>
              </w:rPr>
              <w:t>1.618</w:t>
            </w:r>
          </w:p>
        </w:tc>
      </w:tr>
    </w:tbl>
    <w:p w:rsidR="00D04E76" w:rsidRDefault="00DA4E16" w:rsidP="00FF3376">
      <w:r>
        <w:t xml:space="preserve"> </w:t>
      </w:r>
      <w:r w:rsidR="00D14ED5">
        <w:br/>
      </w:r>
    </w:p>
    <w:p w:rsidR="001D17D8" w:rsidRDefault="001D17D8">
      <w:pPr>
        <w:spacing w:after="200" w:line="276" w:lineRule="auto"/>
        <w:rPr>
          <w:b/>
          <w:szCs w:val="18"/>
        </w:rPr>
      </w:pPr>
      <w:r>
        <w:br w:type="page"/>
      </w:r>
    </w:p>
    <w:p w:rsidR="00C12C6C" w:rsidRDefault="00C12C6C" w:rsidP="00C12C6C">
      <w:pPr>
        <w:pStyle w:val="Overskrift3"/>
      </w:pPr>
      <w:bookmarkStart w:id="43" w:name="_Toc387671283"/>
      <w:r>
        <w:t>Aksjerisiko</w:t>
      </w:r>
      <w:bookmarkEnd w:id="43"/>
    </w:p>
    <w:p w:rsidR="00C12C6C" w:rsidRDefault="00C12C6C" w:rsidP="00C12C6C">
      <w:r>
        <w:t xml:space="preserve">Konsernets aksjerisiko er svært begrenset. </w:t>
      </w:r>
      <w:r w:rsidR="002A512B">
        <w:t>Banken har ingen definert handelsportefølje, og</w:t>
      </w:r>
      <w:r w:rsidR="001D17D8">
        <w:t xml:space="preserve"> tabellen under viser konsernets aksjeeksponering ved utgangen av 2013:</w:t>
      </w:r>
    </w:p>
    <w:p w:rsidR="00CB49EC" w:rsidRDefault="00CB49EC" w:rsidP="00C12C6C"/>
    <w:p w:rsidR="00CB49EC" w:rsidRDefault="00CB49EC" w:rsidP="00CB49EC">
      <w:pPr>
        <w:pStyle w:val="Bildetekst"/>
      </w:pPr>
      <w:bookmarkStart w:id="44" w:name="_Toc387671310"/>
      <w:r>
        <w:t xml:space="preserve">Tabell </w:t>
      </w:r>
      <w:r w:rsidR="00E42F82">
        <w:fldChar w:fldCharType="begin"/>
      </w:r>
      <w:r w:rsidR="00E42F82">
        <w:instrText xml:space="preserve"> SEQ Tabell \* ARABIC </w:instrText>
      </w:r>
      <w:r w:rsidR="00E42F82">
        <w:fldChar w:fldCharType="separate"/>
      </w:r>
      <w:r>
        <w:rPr>
          <w:noProof/>
        </w:rPr>
        <w:t>12</w:t>
      </w:r>
      <w:r w:rsidR="00E42F82">
        <w:rPr>
          <w:noProof/>
        </w:rPr>
        <w:fldChar w:fldCharType="end"/>
      </w:r>
      <w:r>
        <w:t xml:space="preserve"> Eksponering markedsrisiko - aksjerisiko</w:t>
      </w:r>
      <w:bookmarkEnd w:id="44"/>
    </w:p>
    <w:p w:rsidR="001D17D8" w:rsidRDefault="001D17D8" w:rsidP="00C12C6C"/>
    <w:tbl>
      <w:tblPr>
        <w:tblW w:w="6028" w:type="dxa"/>
        <w:tblInd w:w="70" w:type="dxa"/>
        <w:tblCellMar>
          <w:left w:w="70" w:type="dxa"/>
          <w:right w:w="70" w:type="dxa"/>
        </w:tblCellMar>
        <w:tblLook w:val="04A0" w:firstRow="1" w:lastRow="0" w:firstColumn="1" w:lastColumn="0" w:noHBand="0" w:noVBand="1"/>
      </w:tblPr>
      <w:tblGrid>
        <w:gridCol w:w="1216"/>
        <w:gridCol w:w="3596"/>
        <w:gridCol w:w="1216"/>
      </w:tblGrid>
      <w:tr w:rsidR="001D17D8" w:rsidRPr="001D17D8" w:rsidTr="001D17D8">
        <w:trPr>
          <w:trHeight w:val="300"/>
        </w:trPr>
        <w:tc>
          <w:tcPr>
            <w:tcW w:w="1216" w:type="dxa"/>
            <w:tcBorders>
              <w:top w:val="nil"/>
              <w:left w:val="nil"/>
              <w:bottom w:val="nil"/>
              <w:right w:val="nil"/>
            </w:tcBorders>
            <w:shd w:val="clear" w:color="000000" w:fill="D9D9D9"/>
            <w:noWrap/>
            <w:vAlign w:val="bottom"/>
            <w:hideMark/>
          </w:tcPr>
          <w:p w:rsidR="001D17D8" w:rsidRPr="001D17D8" w:rsidRDefault="001D17D8" w:rsidP="001D17D8">
            <w:pPr>
              <w:jc w:val="center"/>
              <w:rPr>
                <w:rFonts w:ascii="Calibri" w:eastAsia="Times New Roman" w:hAnsi="Calibri" w:cs="Times New Roman"/>
                <w:b/>
                <w:bCs/>
                <w:color w:val="000000"/>
                <w:szCs w:val="18"/>
                <w:lang w:eastAsia="nb-NO"/>
              </w:rPr>
            </w:pPr>
            <w:r w:rsidRPr="001D17D8">
              <w:rPr>
                <w:rFonts w:ascii="Calibri" w:eastAsia="Times New Roman" w:hAnsi="Calibri" w:cs="Times New Roman"/>
                <w:b/>
                <w:bCs/>
                <w:color w:val="000000"/>
                <w:szCs w:val="18"/>
                <w:lang w:eastAsia="nb-NO"/>
              </w:rPr>
              <w:t>Mor</w:t>
            </w:r>
          </w:p>
        </w:tc>
        <w:tc>
          <w:tcPr>
            <w:tcW w:w="3596" w:type="dxa"/>
            <w:tcBorders>
              <w:top w:val="nil"/>
              <w:left w:val="nil"/>
              <w:bottom w:val="nil"/>
              <w:right w:val="nil"/>
            </w:tcBorders>
            <w:shd w:val="clear" w:color="000000" w:fill="D9D9D9"/>
            <w:noWrap/>
            <w:vAlign w:val="bottom"/>
            <w:hideMark/>
          </w:tcPr>
          <w:p w:rsidR="001D17D8" w:rsidRPr="001D17D8" w:rsidRDefault="001D17D8" w:rsidP="001D17D8">
            <w:pPr>
              <w:jc w:val="center"/>
              <w:rPr>
                <w:rFonts w:ascii="Calibri" w:eastAsia="Times New Roman" w:hAnsi="Calibri" w:cs="Times New Roman"/>
                <w:b/>
                <w:bCs/>
                <w:color w:val="000000"/>
                <w:szCs w:val="18"/>
                <w:lang w:eastAsia="nb-NO"/>
              </w:rPr>
            </w:pPr>
            <w:r w:rsidRPr="001D17D8">
              <w:rPr>
                <w:rFonts w:ascii="Calibri" w:eastAsia="Times New Roman" w:hAnsi="Calibri" w:cs="Times New Roman"/>
                <w:b/>
                <w:bCs/>
                <w:color w:val="000000"/>
                <w:szCs w:val="18"/>
                <w:lang w:eastAsia="nb-NO"/>
              </w:rPr>
              <w:t> </w:t>
            </w:r>
          </w:p>
        </w:tc>
        <w:tc>
          <w:tcPr>
            <w:tcW w:w="1216" w:type="dxa"/>
            <w:tcBorders>
              <w:top w:val="nil"/>
              <w:left w:val="nil"/>
              <w:bottom w:val="nil"/>
              <w:right w:val="nil"/>
            </w:tcBorders>
            <w:shd w:val="clear" w:color="000000" w:fill="D9D9D9"/>
            <w:noWrap/>
            <w:vAlign w:val="bottom"/>
            <w:hideMark/>
          </w:tcPr>
          <w:p w:rsidR="001D17D8" w:rsidRPr="001D17D8" w:rsidRDefault="001D17D8" w:rsidP="001D17D8">
            <w:pPr>
              <w:jc w:val="center"/>
              <w:rPr>
                <w:rFonts w:ascii="Calibri" w:eastAsia="Times New Roman" w:hAnsi="Calibri" w:cs="Times New Roman"/>
                <w:b/>
                <w:bCs/>
                <w:color w:val="000000"/>
                <w:szCs w:val="18"/>
                <w:lang w:eastAsia="nb-NO"/>
              </w:rPr>
            </w:pPr>
            <w:r w:rsidRPr="001D17D8">
              <w:rPr>
                <w:rFonts w:ascii="Calibri" w:eastAsia="Times New Roman" w:hAnsi="Calibri" w:cs="Times New Roman"/>
                <w:b/>
                <w:bCs/>
                <w:color w:val="000000"/>
                <w:szCs w:val="18"/>
                <w:lang w:eastAsia="nb-NO"/>
              </w:rPr>
              <w:t>Konsern</w:t>
            </w:r>
          </w:p>
        </w:tc>
      </w:tr>
      <w:tr w:rsidR="001D17D8" w:rsidRPr="001D17D8" w:rsidTr="001D17D8">
        <w:trPr>
          <w:trHeight w:val="600"/>
        </w:trPr>
        <w:tc>
          <w:tcPr>
            <w:tcW w:w="121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b/>
                <w:bCs/>
                <w:color w:val="000000"/>
                <w:szCs w:val="18"/>
                <w:lang w:eastAsia="nb-NO"/>
              </w:rPr>
            </w:pPr>
            <w:r w:rsidRPr="001D17D8">
              <w:rPr>
                <w:rFonts w:ascii="Calibri" w:eastAsia="Times New Roman" w:hAnsi="Calibri" w:cs="Times New Roman"/>
                <w:b/>
                <w:bCs/>
                <w:color w:val="000000"/>
                <w:szCs w:val="18"/>
                <w:lang w:eastAsia="nb-NO"/>
              </w:rPr>
              <w:t> </w:t>
            </w:r>
          </w:p>
        </w:tc>
        <w:tc>
          <w:tcPr>
            <w:tcW w:w="3596" w:type="dxa"/>
            <w:tcBorders>
              <w:top w:val="nil"/>
              <w:left w:val="nil"/>
              <w:bottom w:val="nil"/>
              <w:right w:val="nil"/>
            </w:tcBorders>
            <w:shd w:val="clear" w:color="000000" w:fill="FFFFFF"/>
            <w:vAlign w:val="bottom"/>
            <w:hideMark/>
          </w:tcPr>
          <w:p w:rsidR="001D17D8" w:rsidRPr="001D17D8" w:rsidRDefault="001D17D8" w:rsidP="001D17D8">
            <w:pPr>
              <w:jc w:val="center"/>
              <w:rPr>
                <w:rFonts w:ascii="Calibri" w:eastAsia="Times New Roman" w:hAnsi="Calibri" w:cs="Times New Roman"/>
                <w:b/>
                <w:bCs/>
                <w:color w:val="000000"/>
                <w:szCs w:val="18"/>
                <w:lang w:eastAsia="nb-NO"/>
              </w:rPr>
            </w:pPr>
            <w:r w:rsidRPr="001D17D8">
              <w:rPr>
                <w:rFonts w:ascii="Calibri" w:eastAsia="Times New Roman" w:hAnsi="Calibri" w:cs="Times New Roman"/>
                <w:b/>
                <w:bCs/>
                <w:color w:val="000000"/>
                <w:szCs w:val="18"/>
                <w:lang w:eastAsia="nb-NO"/>
              </w:rPr>
              <w:t>Finansielle instrumenter tilgjengelig for salg</w:t>
            </w:r>
          </w:p>
        </w:tc>
        <w:tc>
          <w:tcPr>
            <w:tcW w:w="121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b/>
                <w:bCs/>
                <w:color w:val="000000"/>
                <w:szCs w:val="18"/>
                <w:lang w:eastAsia="nb-NO"/>
              </w:rPr>
            </w:pPr>
            <w:r w:rsidRPr="001D17D8">
              <w:rPr>
                <w:rFonts w:ascii="Calibri" w:eastAsia="Times New Roman" w:hAnsi="Calibri" w:cs="Times New Roman"/>
                <w:b/>
                <w:bCs/>
                <w:color w:val="000000"/>
                <w:szCs w:val="18"/>
                <w:lang w:eastAsia="nb-NO"/>
              </w:rPr>
              <w:t> </w:t>
            </w:r>
          </w:p>
        </w:tc>
      </w:tr>
      <w:tr w:rsidR="001D17D8" w:rsidRPr="001D17D8" w:rsidTr="001D17D8">
        <w:trPr>
          <w:trHeight w:val="300"/>
        </w:trPr>
        <w:tc>
          <w:tcPr>
            <w:tcW w:w="1216" w:type="dxa"/>
            <w:tcBorders>
              <w:top w:val="single" w:sz="4" w:space="0" w:color="auto"/>
              <w:left w:val="nil"/>
              <w:bottom w:val="single" w:sz="4" w:space="0" w:color="auto"/>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15.450</w:t>
            </w:r>
          </w:p>
        </w:tc>
        <w:tc>
          <w:tcPr>
            <w:tcW w:w="3596" w:type="dxa"/>
            <w:tcBorders>
              <w:top w:val="single" w:sz="4" w:space="0" w:color="auto"/>
              <w:left w:val="nil"/>
              <w:bottom w:val="single" w:sz="4" w:space="0" w:color="auto"/>
              <w:right w:val="nil"/>
            </w:tcBorders>
            <w:shd w:val="clear" w:color="000000" w:fill="FFFFFF"/>
            <w:noWrap/>
            <w:vAlign w:val="bottom"/>
            <w:hideMark/>
          </w:tcPr>
          <w:p w:rsidR="001D17D8" w:rsidRPr="001D17D8" w:rsidRDefault="001D17D8" w:rsidP="001D17D8">
            <w:pPr>
              <w:jc w:val="cente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Boligeiendom Berlin AS</w:t>
            </w:r>
          </w:p>
        </w:tc>
        <w:tc>
          <w:tcPr>
            <w:tcW w:w="1216" w:type="dxa"/>
            <w:tcBorders>
              <w:top w:val="single" w:sz="4" w:space="0" w:color="auto"/>
              <w:left w:val="nil"/>
              <w:bottom w:val="single" w:sz="4" w:space="0" w:color="auto"/>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15.450</w:t>
            </w:r>
          </w:p>
        </w:tc>
      </w:tr>
      <w:tr w:rsidR="001D17D8" w:rsidRPr="001D17D8" w:rsidTr="001D17D8">
        <w:trPr>
          <w:trHeight w:val="300"/>
        </w:trPr>
        <w:tc>
          <w:tcPr>
            <w:tcW w:w="121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c>
          <w:tcPr>
            <w:tcW w:w="3596" w:type="dxa"/>
            <w:tcBorders>
              <w:top w:val="nil"/>
              <w:left w:val="nil"/>
              <w:bottom w:val="nil"/>
              <w:right w:val="nil"/>
            </w:tcBorders>
            <w:shd w:val="clear" w:color="000000" w:fill="FFFFFF"/>
            <w:noWrap/>
            <w:vAlign w:val="bottom"/>
            <w:hideMark/>
          </w:tcPr>
          <w:p w:rsidR="001D17D8" w:rsidRPr="001D17D8" w:rsidRDefault="001D17D8" w:rsidP="001D17D8">
            <w:pPr>
              <w:jc w:val="cente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c>
          <w:tcPr>
            <w:tcW w:w="121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r>
      <w:tr w:rsidR="001D17D8" w:rsidRPr="001D17D8" w:rsidTr="001D17D8">
        <w:trPr>
          <w:trHeight w:val="300"/>
        </w:trPr>
        <w:tc>
          <w:tcPr>
            <w:tcW w:w="121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c>
          <w:tcPr>
            <w:tcW w:w="3596" w:type="dxa"/>
            <w:tcBorders>
              <w:top w:val="nil"/>
              <w:left w:val="nil"/>
              <w:bottom w:val="nil"/>
              <w:right w:val="nil"/>
            </w:tcBorders>
            <w:shd w:val="clear" w:color="000000" w:fill="FFFFFF"/>
            <w:noWrap/>
            <w:vAlign w:val="bottom"/>
            <w:hideMark/>
          </w:tcPr>
          <w:p w:rsidR="001D17D8" w:rsidRPr="001D17D8" w:rsidRDefault="001D17D8" w:rsidP="001D17D8">
            <w:pPr>
              <w:jc w:val="center"/>
              <w:rPr>
                <w:rFonts w:ascii="Calibri" w:eastAsia="Times New Roman" w:hAnsi="Calibri" w:cs="Times New Roman"/>
                <w:b/>
                <w:bCs/>
                <w:color w:val="000000"/>
                <w:szCs w:val="18"/>
                <w:lang w:eastAsia="nb-NO"/>
              </w:rPr>
            </w:pPr>
            <w:r w:rsidRPr="001D17D8">
              <w:rPr>
                <w:rFonts w:ascii="Calibri" w:eastAsia="Times New Roman" w:hAnsi="Calibri" w:cs="Times New Roman"/>
                <w:b/>
                <w:bCs/>
                <w:color w:val="000000"/>
                <w:szCs w:val="18"/>
                <w:lang w:eastAsia="nb-NO"/>
              </w:rPr>
              <w:t>Handelsportefølje</w:t>
            </w:r>
          </w:p>
        </w:tc>
        <w:tc>
          <w:tcPr>
            <w:tcW w:w="121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r>
      <w:tr w:rsidR="001D17D8" w:rsidRPr="001D17D8" w:rsidTr="001D17D8">
        <w:trPr>
          <w:trHeight w:val="300"/>
        </w:trPr>
        <w:tc>
          <w:tcPr>
            <w:tcW w:w="1216" w:type="dxa"/>
            <w:tcBorders>
              <w:top w:val="single" w:sz="4" w:space="0" w:color="auto"/>
              <w:left w:val="nil"/>
              <w:bottom w:val="single" w:sz="4" w:space="0" w:color="auto"/>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0</w:t>
            </w:r>
          </w:p>
        </w:tc>
        <w:tc>
          <w:tcPr>
            <w:tcW w:w="3596" w:type="dxa"/>
            <w:tcBorders>
              <w:top w:val="single" w:sz="4" w:space="0" w:color="auto"/>
              <w:left w:val="nil"/>
              <w:bottom w:val="single" w:sz="4" w:space="0" w:color="auto"/>
              <w:right w:val="nil"/>
            </w:tcBorders>
            <w:shd w:val="clear" w:color="000000" w:fill="FFFFFF"/>
            <w:noWrap/>
            <w:vAlign w:val="bottom"/>
            <w:hideMark/>
          </w:tcPr>
          <w:p w:rsidR="001D17D8" w:rsidRPr="001D17D8" w:rsidRDefault="001D17D8" w:rsidP="001D17D8">
            <w:pPr>
              <w:jc w:val="cente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c>
          <w:tcPr>
            <w:tcW w:w="1216" w:type="dxa"/>
            <w:tcBorders>
              <w:top w:val="single" w:sz="4" w:space="0" w:color="auto"/>
              <w:left w:val="nil"/>
              <w:bottom w:val="single" w:sz="4" w:space="0" w:color="auto"/>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0</w:t>
            </w:r>
          </w:p>
        </w:tc>
      </w:tr>
      <w:tr w:rsidR="001D17D8" w:rsidRPr="001D17D8" w:rsidTr="001D17D8">
        <w:trPr>
          <w:trHeight w:val="300"/>
        </w:trPr>
        <w:tc>
          <w:tcPr>
            <w:tcW w:w="121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c>
          <w:tcPr>
            <w:tcW w:w="359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c>
          <w:tcPr>
            <w:tcW w:w="121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r>
      <w:tr w:rsidR="001D17D8" w:rsidRPr="001D17D8" w:rsidTr="001D17D8">
        <w:trPr>
          <w:trHeight w:val="300"/>
        </w:trPr>
        <w:tc>
          <w:tcPr>
            <w:tcW w:w="121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c>
          <w:tcPr>
            <w:tcW w:w="359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b/>
                <w:bCs/>
                <w:color w:val="000000"/>
                <w:szCs w:val="18"/>
                <w:lang w:eastAsia="nb-NO"/>
              </w:rPr>
            </w:pPr>
            <w:r w:rsidRPr="001D17D8">
              <w:rPr>
                <w:rFonts w:ascii="Calibri" w:eastAsia="Times New Roman" w:hAnsi="Calibri" w:cs="Times New Roman"/>
                <w:b/>
                <w:bCs/>
                <w:color w:val="000000"/>
                <w:szCs w:val="18"/>
                <w:lang w:eastAsia="nb-NO"/>
              </w:rPr>
              <w:t>Andre aksjer og investeringer</w:t>
            </w:r>
          </w:p>
        </w:tc>
        <w:tc>
          <w:tcPr>
            <w:tcW w:w="121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r>
      <w:tr w:rsidR="001D17D8" w:rsidRPr="001D17D8" w:rsidTr="001D17D8">
        <w:trPr>
          <w:trHeight w:val="300"/>
        </w:trPr>
        <w:tc>
          <w:tcPr>
            <w:tcW w:w="1216" w:type="dxa"/>
            <w:tcBorders>
              <w:top w:val="nil"/>
              <w:left w:val="nil"/>
              <w:bottom w:val="nil"/>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11.425</w:t>
            </w:r>
          </w:p>
        </w:tc>
        <w:tc>
          <w:tcPr>
            <w:tcW w:w="3596" w:type="dxa"/>
            <w:tcBorders>
              <w:top w:val="nil"/>
              <w:left w:val="nil"/>
              <w:bottom w:val="nil"/>
              <w:right w:val="nil"/>
            </w:tcBorders>
            <w:shd w:val="clear" w:color="000000" w:fill="FFFFFF"/>
            <w:noWrap/>
            <w:vAlign w:val="bottom"/>
            <w:hideMark/>
          </w:tcPr>
          <w:p w:rsidR="001D17D8" w:rsidRPr="001D17D8" w:rsidRDefault="001D17D8" w:rsidP="001D17D8">
            <w:pPr>
              <w:jc w:val="cente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Eiendomskreditt AS</w:t>
            </w:r>
          </w:p>
        </w:tc>
        <w:tc>
          <w:tcPr>
            <w:tcW w:w="1216" w:type="dxa"/>
            <w:tcBorders>
              <w:top w:val="nil"/>
              <w:left w:val="nil"/>
              <w:bottom w:val="nil"/>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11.425</w:t>
            </w:r>
          </w:p>
        </w:tc>
      </w:tr>
      <w:tr w:rsidR="001D17D8" w:rsidRPr="001D17D8" w:rsidTr="001D17D8">
        <w:trPr>
          <w:trHeight w:val="300"/>
        </w:trPr>
        <w:tc>
          <w:tcPr>
            <w:tcW w:w="1216" w:type="dxa"/>
            <w:tcBorders>
              <w:top w:val="nil"/>
              <w:left w:val="nil"/>
              <w:bottom w:val="nil"/>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1.130</w:t>
            </w:r>
          </w:p>
        </w:tc>
        <w:tc>
          <w:tcPr>
            <w:tcW w:w="3596" w:type="dxa"/>
            <w:tcBorders>
              <w:top w:val="nil"/>
              <w:left w:val="nil"/>
              <w:bottom w:val="nil"/>
              <w:right w:val="nil"/>
            </w:tcBorders>
            <w:shd w:val="clear" w:color="000000" w:fill="FFFFFF"/>
            <w:noWrap/>
            <w:vAlign w:val="bottom"/>
            <w:hideMark/>
          </w:tcPr>
          <w:p w:rsidR="001D17D8" w:rsidRPr="001D17D8" w:rsidRDefault="001D17D8" w:rsidP="001D17D8">
            <w:pPr>
              <w:jc w:val="cente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xml:space="preserve">Nets </w:t>
            </w:r>
            <w:proofErr w:type="spellStart"/>
            <w:r w:rsidRPr="001D17D8">
              <w:rPr>
                <w:rFonts w:ascii="Calibri" w:eastAsia="Times New Roman" w:hAnsi="Calibri" w:cs="Times New Roman"/>
                <w:color w:val="000000"/>
                <w:szCs w:val="18"/>
                <w:lang w:eastAsia="nb-NO"/>
              </w:rPr>
              <w:t>Holding</w:t>
            </w:r>
            <w:proofErr w:type="spellEnd"/>
            <w:r w:rsidRPr="001D17D8">
              <w:rPr>
                <w:rFonts w:ascii="Calibri" w:eastAsia="Times New Roman" w:hAnsi="Calibri" w:cs="Times New Roman"/>
                <w:color w:val="000000"/>
                <w:szCs w:val="18"/>
                <w:lang w:eastAsia="nb-NO"/>
              </w:rPr>
              <w:t xml:space="preserve"> AS</w:t>
            </w:r>
          </w:p>
        </w:tc>
        <w:tc>
          <w:tcPr>
            <w:tcW w:w="1216" w:type="dxa"/>
            <w:tcBorders>
              <w:top w:val="nil"/>
              <w:left w:val="nil"/>
              <w:bottom w:val="nil"/>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1.130</w:t>
            </w:r>
          </w:p>
        </w:tc>
      </w:tr>
      <w:tr w:rsidR="001D17D8" w:rsidRPr="001D17D8" w:rsidTr="001D17D8">
        <w:trPr>
          <w:trHeight w:val="300"/>
        </w:trPr>
        <w:tc>
          <w:tcPr>
            <w:tcW w:w="1216" w:type="dxa"/>
            <w:tcBorders>
              <w:top w:val="nil"/>
              <w:left w:val="nil"/>
              <w:bottom w:val="nil"/>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4.791</w:t>
            </w:r>
          </w:p>
        </w:tc>
        <w:tc>
          <w:tcPr>
            <w:tcW w:w="3596" w:type="dxa"/>
            <w:tcBorders>
              <w:top w:val="nil"/>
              <w:left w:val="nil"/>
              <w:bottom w:val="nil"/>
              <w:right w:val="nil"/>
            </w:tcBorders>
            <w:shd w:val="clear" w:color="000000" w:fill="FFFFFF"/>
            <w:noWrap/>
            <w:vAlign w:val="bottom"/>
            <w:hideMark/>
          </w:tcPr>
          <w:p w:rsidR="001D17D8" w:rsidRPr="001D17D8" w:rsidRDefault="001D17D8" w:rsidP="001D17D8">
            <w:pPr>
              <w:jc w:val="cente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xml:space="preserve">Visa </w:t>
            </w:r>
            <w:proofErr w:type="spellStart"/>
            <w:r w:rsidRPr="001D17D8">
              <w:rPr>
                <w:rFonts w:ascii="Calibri" w:eastAsia="Times New Roman" w:hAnsi="Calibri" w:cs="Times New Roman"/>
                <w:color w:val="000000"/>
                <w:szCs w:val="18"/>
                <w:lang w:eastAsia="nb-NO"/>
              </w:rPr>
              <w:t>Inc</w:t>
            </w:r>
            <w:proofErr w:type="spellEnd"/>
          </w:p>
        </w:tc>
        <w:tc>
          <w:tcPr>
            <w:tcW w:w="1216" w:type="dxa"/>
            <w:tcBorders>
              <w:top w:val="nil"/>
              <w:left w:val="nil"/>
              <w:bottom w:val="nil"/>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4.791</w:t>
            </w:r>
          </w:p>
        </w:tc>
      </w:tr>
      <w:tr w:rsidR="001D17D8" w:rsidRPr="001D17D8" w:rsidTr="001D17D8">
        <w:trPr>
          <w:trHeight w:val="300"/>
        </w:trPr>
        <w:tc>
          <w:tcPr>
            <w:tcW w:w="121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c>
          <w:tcPr>
            <w:tcW w:w="3596" w:type="dxa"/>
            <w:tcBorders>
              <w:top w:val="nil"/>
              <w:left w:val="nil"/>
              <w:bottom w:val="nil"/>
              <w:right w:val="nil"/>
            </w:tcBorders>
            <w:shd w:val="clear" w:color="000000" w:fill="FFFFFF"/>
            <w:noWrap/>
            <w:vAlign w:val="bottom"/>
            <w:hideMark/>
          </w:tcPr>
          <w:p w:rsidR="001D17D8" w:rsidRPr="001D17D8" w:rsidRDefault="001D17D8" w:rsidP="001D17D8">
            <w:pPr>
              <w:jc w:val="center"/>
              <w:rPr>
                <w:rFonts w:ascii="Calibri" w:eastAsia="Times New Roman" w:hAnsi="Calibri" w:cs="Times New Roman"/>
                <w:color w:val="000000"/>
                <w:szCs w:val="18"/>
                <w:lang w:val="en-US" w:eastAsia="nb-NO"/>
              </w:rPr>
            </w:pPr>
            <w:r w:rsidRPr="001D17D8">
              <w:rPr>
                <w:rFonts w:ascii="Calibri" w:eastAsia="Times New Roman" w:hAnsi="Calibri" w:cs="Times New Roman"/>
                <w:color w:val="000000"/>
                <w:szCs w:val="18"/>
                <w:lang w:val="en-US" w:eastAsia="nb-NO"/>
              </w:rPr>
              <w:t>Pareto Growth (via SSB PE 2 AS)</w:t>
            </w:r>
          </w:p>
        </w:tc>
        <w:tc>
          <w:tcPr>
            <w:tcW w:w="1216" w:type="dxa"/>
            <w:tcBorders>
              <w:top w:val="nil"/>
              <w:left w:val="nil"/>
              <w:bottom w:val="nil"/>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32.220</w:t>
            </w:r>
          </w:p>
        </w:tc>
      </w:tr>
      <w:tr w:rsidR="001D17D8" w:rsidRPr="001D17D8" w:rsidTr="001D17D8">
        <w:trPr>
          <w:trHeight w:val="300"/>
        </w:trPr>
        <w:tc>
          <w:tcPr>
            <w:tcW w:w="1216" w:type="dxa"/>
            <w:tcBorders>
              <w:top w:val="nil"/>
              <w:left w:val="nil"/>
              <w:bottom w:val="nil"/>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13.874</w:t>
            </w:r>
          </w:p>
        </w:tc>
        <w:tc>
          <w:tcPr>
            <w:tcW w:w="3596" w:type="dxa"/>
            <w:tcBorders>
              <w:top w:val="nil"/>
              <w:left w:val="nil"/>
              <w:bottom w:val="nil"/>
              <w:right w:val="nil"/>
            </w:tcBorders>
            <w:shd w:val="clear" w:color="000000" w:fill="FFFFFF"/>
            <w:noWrap/>
            <w:vAlign w:val="bottom"/>
            <w:hideMark/>
          </w:tcPr>
          <w:p w:rsidR="001D17D8" w:rsidRPr="001D17D8" w:rsidRDefault="001D17D8" w:rsidP="001D17D8">
            <w:pPr>
              <w:jc w:val="center"/>
              <w:rPr>
                <w:rFonts w:ascii="Calibri" w:eastAsia="Times New Roman" w:hAnsi="Calibri" w:cs="Times New Roman"/>
                <w:color w:val="000000"/>
                <w:szCs w:val="18"/>
                <w:lang w:val="en-US" w:eastAsia="nb-NO"/>
              </w:rPr>
            </w:pPr>
            <w:r w:rsidRPr="001D17D8">
              <w:rPr>
                <w:rFonts w:ascii="Calibri" w:eastAsia="Times New Roman" w:hAnsi="Calibri" w:cs="Times New Roman"/>
                <w:color w:val="000000"/>
                <w:szCs w:val="18"/>
                <w:lang w:val="en-US" w:eastAsia="nb-NO"/>
              </w:rPr>
              <w:t>Saffron India Real Estate Fund 1</w:t>
            </w:r>
          </w:p>
        </w:tc>
        <w:tc>
          <w:tcPr>
            <w:tcW w:w="1216" w:type="dxa"/>
            <w:tcBorders>
              <w:top w:val="nil"/>
              <w:left w:val="nil"/>
              <w:bottom w:val="nil"/>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13.874</w:t>
            </w:r>
          </w:p>
        </w:tc>
      </w:tr>
      <w:tr w:rsidR="001D17D8" w:rsidRPr="001D17D8" w:rsidTr="001D17D8">
        <w:trPr>
          <w:trHeight w:val="300"/>
        </w:trPr>
        <w:tc>
          <w:tcPr>
            <w:tcW w:w="1216" w:type="dxa"/>
            <w:tcBorders>
              <w:top w:val="nil"/>
              <w:left w:val="nil"/>
              <w:bottom w:val="nil"/>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9.654</w:t>
            </w:r>
          </w:p>
        </w:tc>
        <w:tc>
          <w:tcPr>
            <w:tcW w:w="3596" w:type="dxa"/>
            <w:tcBorders>
              <w:top w:val="nil"/>
              <w:left w:val="nil"/>
              <w:bottom w:val="nil"/>
              <w:right w:val="nil"/>
            </w:tcBorders>
            <w:shd w:val="clear" w:color="000000" w:fill="FFFFFF"/>
            <w:noWrap/>
            <w:vAlign w:val="bottom"/>
            <w:hideMark/>
          </w:tcPr>
          <w:p w:rsidR="001D17D8" w:rsidRPr="001D17D8" w:rsidRDefault="001D17D8" w:rsidP="001D17D8">
            <w:pPr>
              <w:jc w:val="cente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Andeler i obligasjonsfond</w:t>
            </w:r>
          </w:p>
        </w:tc>
        <w:tc>
          <w:tcPr>
            <w:tcW w:w="1216" w:type="dxa"/>
            <w:tcBorders>
              <w:top w:val="nil"/>
              <w:left w:val="nil"/>
              <w:bottom w:val="nil"/>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9.654</w:t>
            </w:r>
          </w:p>
        </w:tc>
      </w:tr>
      <w:tr w:rsidR="001D17D8" w:rsidRPr="001D17D8" w:rsidTr="001D17D8">
        <w:trPr>
          <w:trHeight w:val="300"/>
        </w:trPr>
        <w:tc>
          <w:tcPr>
            <w:tcW w:w="1216" w:type="dxa"/>
            <w:tcBorders>
              <w:top w:val="single" w:sz="4" w:space="0" w:color="auto"/>
              <w:left w:val="nil"/>
              <w:bottom w:val="single" w:sz="4" w:space="0" w:color="auto"/>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40.874</w:t>
            </w:r>
          </w:p>
        </w:tc>
        <w:tc>
          <w:tcPr>
            <w:tcW w:w="3596" w:type="dxa"/>
            <w:tcBorders>
              <w:top w:val="single" w:sz="4" w:space="0" w:color="auto"/>
              <w:left w:val="nil"/>
              <w:bottom w:val="single" w:sz="4" w:space="0" w:color="auto"/>
              <w:right w:val="nil"/>
            </w:tcBorders>
            <w:shd w:val="clear" w:color="000000" w:fill="FFFFFF"/>
            <w:noWrap/>
            <w:vAlign w:val="bottom"/>
            <w:hideMark/>
          </w:tcPr>
          <w:p w:rsidR="001D17D8" w:rsidRPr="001D17D8" w:rsidRDefault="001D17D8" w:rsidP="001D17D8">
            <w:pPr>
              <w:jc w:val="cente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xml:space="preserve">Sum </w:t>
            </w:r>
          </w:p>
        </w:tc>
        <w:tc>
          <w:tcPr>
            <w:tcW w:w="1216" w:type="dxa"/>
            <w:tcBorders>
              <w:top w:val="single" w:sz="4" w:space="0" w:color="auto"/>
              <w:left w:val="nil"/>
              <w:bottom w:val="single" w:sz="4" w:space="0" w:color="auto"/>
              <w:right w:val="nil"/>
            </w:tcBorders>
            <w:shd w:val="clear" w:color="000000" w:fill="FFFFFF"/>
            <w:noWrap/>
            <w:vAlign w:val="bottom"/>
            <w:hideMark/>
          </w:tcPr>
          <w:p w:rsidR="001D17D8" w:rsidRPr="001D17D8" w:rsidRDefault="001D17D8" w:rsidP="001D17D8">
            <w:pPr>
              <w:jc w:val="right"/>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73.094</w:t>
            </w:r>
          </w:p>
        </w:tc>
      </w:tr>
      <w:tr w:rsidR="001D17D8" w:rsidRPr="001D17D8" w:rsidTr="001D17D8">
        <w:trPr>
          <w:trHeight w:val="300"/>
        </w:trPr>
        <w:tc>
          <w:tcPr>
            <w:tcW w:w="121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c>
          <w:tcPr>
            <w:tcW w:w="3596" w:type="dxa"/>
            <w:tcBorders>
              <w:top w:val="nil"/>
              <w:left w:val="nil"/>
              <w:bottom w:val="nil"/>
              <w:right w:val="nil"/>
            </w:tcBorders>
            <w:shd w:val="clear" w:color="000000" w:fill="FFFFFF"/>
            <w:noWrap/>
            <w:vAlign w:val="bottom"/>
            <w:hideMark/>
          </w:tcPr>
          <w:p w:rsidR="001D17D8" w:rsidRPr="001D17D8" w:rsidRDefault="001D17D8" w:rsidP="001D17D8">
            <w:pPr>
              <w:jc w:val="cente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c>
          <w:tcPr>
            <w:tcW w:w="1216" w:type="dxa"/>
            <w:tcBorders>
              <w:top w:val="nil"/>
              <w:left w:val="nil"/>
              <w:bottom w:val="nil"/>
              <w:right w:val="nil"/>
            </w:tcBorders>
            <w:shd w:val="clear" w:color="000000" w:fill="FFFFFF"/>
            <w:noWrap/>
            <w:vAlign w:val="bottom"/>
            <w:hideMark/>
          </w:tcPr>
          <w:p w:rsidR="001D17D8" w:rsidRPr="001D17D8" w:rsidRDefault="001D17D8" w:rsidP="001D17D8">
            <w:pPr>
              <w:rPr>
                <w:rFonts w:ascii="Calibri" w:eastAsia="Times New Roman" w:hAnsi="Calibri" w:cs="Times New Roman"/>
                <w:color w:val="000000"/>
                <w:szCs w:val="18"/>
                <w:lang w:eastAsia="nb-NO"/>
              </w:rPr>
            </w:pPr>
            <w:r w:rsidRPr="001D17D8">
              <w:rPr>
                <w:rFonts w:ascii="Calibri" w:eastAsia="Times New Roman" w:hAnsi="Calibri" w:cs="Times New Roman"/>
                <w:color w:val="000000"/>
                <w:szCs w:val="18"/>
                <w:lang w:eastAsia="nb-NO"/>
              </w:rPr>
              <w:t> </w:t>
            </w:r>
          </w:p>
        </w:tc>
      </w:tr>
      <w:tr w:rsidR="001D17D8" w:rsidRPr="001D17D8" w:rsidTr="001D17D8">
        <w:trPr>
          <w:trHeight w:val="300"/>
        </w:trPr>
        <w:tc>
          <w:tcPr>
            <w:tcW w:w="1216" w:type="dxa"/>
            <w:tcBorders>
              <w:top w:val="single" w:sz="4" w:space="0" w:color="auto"/>
              <w:left w:val="nil"/>
              <w:bottom w:val="single" w:sz="4" w:space="0" w:color="auto"/>
              <w:right w:val="nil"/>
            </w:tcBorders>
            <w:shd w:val="clear" w:color="auto" w:fill="auto"/>
            <w:noWrap/>
            <w:vAlign w:val="bottom"/>
            <w:hideMark/>
          </w:tcPr>
          <w:p w:rsidR="001D17D8" w:rsidRPr="001D17D8" w:rsidRDefault="001D17D8" w:rsidP="001D17D8">
            <w:pPr>
              <w:jc w:val="right"/>
              <w:rPr>
                <w:rFonts w:ascii="Calibri" w:eastAsia="Times New Roman" w:hAnsi="Calibri" w:cs="Times New Roman"/>
                <w:b/>
                <w:bCs/>
                <w:color w:val="000000"/>
                <w:szCs w:val="18"/>
                <w:lang w:eastAsia="nb-NO"/>
              </w:rPr>
            </w:pPr>
            <w:r w:rsidRPr="001D17D8">
              <w:rPr>
                <w:rFonts w:ascii="Calibri" w:eastAsia="Times New Roman" w:hAnsi="Calibri" w:cs="Times New Roman"/>
                <w:b/>
                <w:bCs/>
                <w:color w:val="000000"/>
                <w:szCs w:val="18"/>
                <w:lang w:eastAsia="nb-NO"/>
              </w:rPr>
              <w:t>56.324</w:t>
            </w:r>
          </w:p>
        </w:tc>
        <w:tc>
          <w:tcPr>
            <w:tcW w:w="3596" w:type="dxa"/>
            <w:tcBorders>
              <w:top w:val="single" w:sz="4" w:space="0" w:color="auto"/>
              <w:left w:val="nil"/>
              <w:bottom w:val="single" w:sz="4" w:space="0" w:color="auto"/>
              <w:right w:val="nil"/>
            </w:tcBorders>
            <w:shd w:val="clear" w:color="000000" w:fill="FFFFFF"/>
            <w:noWrap/>
            <w:vAlign w:val="bottom"/>
            <w:hideMark/>
          </w:tcPr>
          <w:p w:rsidR="001D17D8" w:rsidRPr="001D17D8" w:rsidRDefault="001D17D8" w:rsidP="001D17D8">
            <w:pPr>
              <w:jc w:val="center"/>
              <w:rPr>
                <w:rFonts w:ascii="Calibri" w:eastAsia="Times New Roman" w:hAnsi="Calibri" w:cs="Times New Roman"/>
                <w:b/>
                <w:bCs/>
                <w:color w:val="000000"/>
                <w:szCs w:val="18"/>
                <w:lang w:eastAsia="nb-NO"/>
              </w:rPr>
            </w:pPr>
            <w:r w:rsidRPr="001D17D8">
              <w:rPr>
                <w:rFonts w:ascii="Calibri" w:eastAsia="Times New Roman" w:hAnsi="Calibri" w:cs="Times New Roman"/>
                <w:b/>
                <w:bCs/>
                <w:color w:val="000000"/>
                <w:szCs w:val="18"/>
                <w:lang w:eastAsia="nb-NO"/>
              </w:rPr>
              <w:t>Sum</w:t>
            </w:r>
          </w:p>
        </w:tc>
        <w:tc>
          <w:tcPr>
            <w:tcW w:w="1216" w:type="dxa"/>
            <w:tcBorders>
              <w:top w:val="single" w:sz="4" w:space="0" w:color="auto"/>
              <w:left w:val="nil"/>
              <w:bottom w:val="single" w:sz="4" w:space="0" w:color="auto"/>
              <w:right w:val="nil"/>
            </w:tcBorders>
            <w:shd w:val="clear" w:color="auto" w:fill="auto"/>
            <w:noWrap/>
            <w:vAlign w:val="bottom"/>
            <w:hideMark/>
          </w:tcPr>
          <w:p w:rsidR="001D17D8" w:rsidRPr="001D17D8" w:rsidRDefault="001D17D8" w:rsidP="001D17D8">
            <w:pPr>
              <w:jc w:val="right"/>
              <w:rPr>
                <w:rFonts w:ascii="Calibri" w:eastAsia="Times New Roman" w:hAnsi="Calibri" w:cs="Times New Roman"/>
                <w:b/>
                <w:bCs/>
                <w:color w:val="000000"/>
                <w:szCs w:val="18"/>
                <w:lang w:eastAsia="nb-NO"/>
              </w:rPr>
            </w:pPr>
            <w:r w:rsidRPr="001D17D8">
              <w:rPr>
                <w:rFonts w:ascii="Calibri" w:eastAsia="Times New Roman" w:hAnsi="Calibri" w:cs="Times New Roman"/>
                <w:b/>
                <w:bCs/>
                <w:color w:val="000000"/>
                <w:szCs w:val="18"/>
                <w:lang w:eastAsia="nb-NO"/>
              </w:rPr>
              <w:t>88.544</w:t>
            </w:r>
          </w:p>
        </w:tc>
      </w:tr>
    </w:tbl>
    <w:p w:rsidR="001D17D8" w:rsidRDefault="001D17D8" w:rsidP="00C12C6C"/>
    <w:p w:rsidR="00497B31" w:rsidRPr="00C12C6C" w:rsidRDefault="00497B31" w:rsidP="00C12C6C"/>
    <w:p w:rsidR="00C12C6C" w:rsidRDefault="00497B31" w:rsidP="00497B31">
      <w:pPr>
        <w:pStyle w:val="Overskrift2"/>
      </w:pPr>
      <w:bookmarkStart w:id="45" w:name="_Toc387671284"/>
      <w:r>
        <w:t>Likviditetsrisiko</w:t>
      </w:r>
      <w:bookmarkEnd w:id="45"/>
    </w:p>
    <w:p w:rsidR="00497B31" w:rsidRDefault="00DE3F91" w:rsidP="00FF3376">
      <w:r>
        <w:t xml:space="preserve">Konsernets styring av likviditetsrisikoen tar utgangspunkt i konsernets likviditetsstrategi. </w:t>
      </w:r>
      <w:r w:rsidR="001B7CAB">
        <w:t xml:space="preserve">Utgangspunktet er at konsernet skal ha </w:t>
      </w:r>
      <w:proofErr w:type="spellStart"/>
      <w:r w:rsidR="001B7CAB">
        <w:t>likvidetsbuffere</w:t>
      </w:r>
      <w:proofErr w:type="spellEnd"/>
      <w:r w:rsidR="001B7CAB">
        <w:t xml:space="preserve"> til å dekke normalt forfall på fremmedfinansieringen samt kjente inn- og utbetalinger neste 9 måneder. I </w:t>
      </w:r>
      <w:proofErr w:type="spellStart"/>
      <w:r w:rsidR="001B7CAB">
        <w:t>tilegg</w:t>
      </w:r>
      <w:proofErr w:type="spellEnd"/>
      <w:r w:rsidR="001B7CAB">
        <w:t xml:space="preserve"> skal konsernet som et </w:t>
      </w:r>
      <w:proofErr w:type="spellStart"/>
      <w:r w:rsidR="001B7CAB">
        <w:t>minium</w:t>
      </w:r>
      <w:proofErr w:type="spellEnd"/>
      <w:r w:rsidR="001B7CAB">
        <w:t xml:space="preserve"> ha tilgjengelig strategisk likviditet for å dekke forfall på fremmedfinansiering samt kjente inn- og utbetalinger neste 15 måneder. Inkludert i strategisk likviditet er også boliglån kvalifisert for obligasjoner med fortrinnsrett. </w:t>
      </w:r>
    </w:p>
    <w:p w:rsidR="00F01BEB" w:rsidRDefault="00F01BEB" w:rsidP="00FF3376"/>
    <w:p w:rsidR="00F01BEB" w:rsidRDefault="00F01BEB" w:rsidP="00FF3376">
      <w:r>
        <w:t>Det er etablert beredskapsplaner for håndtering</w:t>
      </w:r>
      <w:r w:rsidR="00784A95">
        <w:t xml:space="preserve"> av eventuelle likviditetskriser</w:t>
      </w:r>
      <w:r>
        <w:t>. Alle tiltak som gjennomføres for å håndtere eventuell</w:t>
      </w:r>
      <w:r w:rsidR="00784A95">
        <w:t>e</w:t>
      </w:r>
      <w:r>
        <w:t xml:space="preserve"> likviditetskriser har som formål å opprettholde konsernets likviditet på et akseptabelt nivå gjenno</w:t>
      </w:r>
      <w:r w:rsidR="00784A95">
        <w:t>m å erstatte bortfall av kontan</w:t>
      </w:r>
      <w:r>
        <w:t>t</w:t>
      </w:r>
      <w:r w:rsidR="00784A95">
        <w:t>st</w:t>
      </w:r>
      <w:r>
        <w:t>røm</w:t>
      </w:r>
      <w:r w:rsidR="00784A95">
        <w:t>mer</w:t>
      </w:r>
      <w:r>
        <w:t xml:space="preserve">. Beholdning av likviditetsbuffere og iverksettelse av tiltak skal sikre tilfredsstillende likviditet i forbindelse med eventuelle likviditetskriser. </w:t>
      </w:r>
    </w:p>
    <w:p w:rsidR="00BC40F2" w:rsidRDefault="00BC40F2" w:rsidP="00FF3376"/>
    <w:p w:rsidR="00BC40F2" w:rsidRDefault="00BC40F2" w:rsidP="00FF3376">
      <w:r>
        <w:t xml:space="preserve">Kvantifisering </w:t>
      </w:r>
      <w:r w:rsidR="00784A95">
        <w:t>av konsernets likviditetsrisiko</w:t>
      </w:r>
      <w:r>
        <w:t xml:space="preserve"> skjer gjennom </w:t>
      </w:r>
      <w:r w:rsidR="00784A95">
        <w:t>indikatorene</w:t>
      </w:r>
      <w:r>
        <w:t xml:space="preserve"> LBI (Likviditetsindikatorbuffer) og NSFR (Net Stable </w:t>
      </w:r>
      <w:proofErr w:type="spellStart"/>
      <w:r>
        <w:t>Funding</w:t>
      </w:r>
      <w:proofErr w:type="spellEnd"/>
      <w:r>
        <w:t xml:space="preserve"> Ratio). </w:t>
      </w:r>
      <w:r w:rsidR="00C71403">
        <w:t>Pr i dag bruke</w:t>
      </w:r>
      <w:r w:rsidR="00784A95">
        <w:t>r ikke konsernet LCR (</w:t>
      </w:r>
      <w:proofErr w:type="spellStart"/>
      <w:r w:rsidR="00784A95">
        <w:t>Liquidity</w:t>
      </w:r>
      <w:proofErr w:type="spellEnd"/>
      <w:r w:rsidR="00C71403">
        <w:t xml:space="preserve"> Cover Ratio) som et direkte styringsmål for likviditetsrisikoen. LCR</w:t>
      </w:r>
      <w:r w:rsidR="00E52D60">
        <w:t>, som øker betydningen av l</w:t>
      </w:r>
      <w:r w:rsidR="00784A95">
        <w:t>ikvide eiendeler av høy kvalitet,</w:t>
      </w:r>
      <w:r w:rsidR="00E52D60">
        <w:t xml:space="preserve"> </w:t>
      </w:r>
      <w:r w:rsidR="00C71403">
        <w:t>måler konsernets evne til overleve en stressperiode på 30 dager</w:t>
      </w:r>
      <w:r w:rsidR="00E52D60">
        <w:t>.</w:t>
      </w:r>
    </w:p>
    <w:p w:rsidR="00C71403" w:rsidRDefault="00C71403" w:rsidP="00FF3376"/>
    <w:p w:rsidR="00C71403" w:rsidRDefault="00C71403" w:rsidP="00FF3376">
      <w:r>
        <w:t>LBI er Finanstilsynets egen likviditetsindikator, og måle</w:t>
      </w:r>
      <w:r w:rsidR="00E52D60">
        <w:t>r</w:t>
      </w:r>
      <w:r>
        <w:t xml:space="preserve"> mye av det samme</w:t>
      </w:r>
      <w:r w:rsidR="00E52D60">
        <w:t xml:space="preserve"> som LCR, men er mer tilpasset "norske forhold" ettersom LBI inkluderer flere likvide aktiva enn hva inngår i L</w:t>
      </w:r>
      <w:r w:rsidR="00784A95">
        <w:t>CR. Dette innebærer blant annet</w:t>
      </w:r>
      <w:r w:rsidR="00E52D60">
        <w:t xml:space="preserve"> at LBI inkluderer ytterligere OMF med lavere </w:t>
      </w:r>
      <w:proofErr w:type="spellStart"/>
      <w:r w:rsidR="00E52D60">
        <w:t>rating</w:t>
      </w:r>
      <w:proofErr w:type="spellEnd"/>
      <w:r w:rsidR="00E52D60">
        <w:t xml:space="preserve"> samt andre</w:t>
      </w:r>
      <w:r w:rsidR="00784A95">
        <w:t xml:space="preserve"> papirer som ikke kan deponeres hos Norges Bank. </w:t>
      </w:r>
    </w:p>
    <w:p w:rsidR="00E52D60" w:rsidRDefault="00E52D60" w:rsidP="00FF3376"/>
    <w:p w:rsidR="00E52D60" w:rsidRDefault="00E52D60" w:rsidP="00FF3376">
      <w:r>
        <w:t>NSRF måler langsiktigheten i konsernets finansiering. NSFR medfører at konsernet i stør</w:t>
      </w:r>
      <w:r w:rsidR="00784A95">
        <w:t xml:space="preserve">re grad må finansierer </w:t>
      </w:r>
      <w:proofErr w:type="spellStart"/>
      <w:r w:rsidR="00784A95">
        <w:t>illikvide</w:t>
      </w:r>
      <w:proofErr w:type="spellEnd"/>
      <w:r w:rsidR="00784A95">
        <w:t xml:space="preserve"> eiendeler </w:t>
      </w:r>
      <w:r>
        <w:t xml:space="preserve"> ved hjelp av stabil og langsiktig finansiering. </w:t>
      </w:r>
    </w:p>
    <w:p w:rsidR="00F772E6" w:rsidRDefault="00F772E6" w:rsidP="00FF3376"/>
    <w:p w:rsidR="00F772E6" w:rsidRDefault="00F772E6" w:rsidP="00FF3376">
      <w:r>
        <w:t>Konsernet tilpasse</w:t>
      </w:r>
      <w:r w:rsidR="00784A95">
        <w:t>r</w:t>
      </w:r>
      <w:r>
        <w:t xml:space="preserve"> seg det nye regelverket, både gjennom endringer i interne strategier, samt gjennom faktiske tilpasninger. Nivået på de ulike likviditetsindikatorene (inkludert LCR) rapporteres regelmessig til Finanstilsynet. </w:t>
      </w:r>
    </w:p>
    <w:p w:rsidR="00F772E6" w:rsidRDefault="00F772E6" w:rsidP="00FF3376"/>
    <w:p w:rsidR="00E5152E" w:rsidRDefault="00E5152E">
      <w:pPr>
        <w:spacing w:after="200" w:line="276" w:lineRule="auto"/>
      </w:pPr>
      <w:r>
        <w:br w:type="page"/>
      </w:r>
    </w:p>
    <w:p w:rsidR="00F772E6" w:rsidRDefault="00F772E6" w:rsidP="00FF3376">
      <w:r>
        <w:t>Ved utgangen av 2013 var konsernets likviditetsindikatorer som følger:</w:t>
      </w:r>
    </w:p>
    <w:p w:rsidR="00CB49EC" w:rsidRDefault="00CB49EC" w:rsidP="00FF3376"/>
    <w:p w:rsidR="00CB49EC" w:rsidRDefault="00CB49EC" w:rsidP="00CB49EC">
      <w:pPr>
        <w:pStyle w:val="Bildetekst"/>
      </w:pPr>
      <w:bookmarkStart w:id="46" w:name="_Toc387671311"/>
      <w:r>
        <w:t xml:space="preserve">Tabell </w:t>
      </w:r>
      <w:r w:rsidR="00E42F82">
        <w:fldChar w:fldCharType="begin"/>
      </w:r>
      <w:r w:rsidR="00E42F82">
        <w:instrText xml:space="preserve"> SEQ Tabell \* ARABIC </w:instrText>
      </w:r>
      <w:r w:rsidR="00E42F82">
        <w:fldChar w:fldCharType="separate"/>
      </w:r>
      <w:r>
        <w:rPr>
          <w:noProof/>
        </w:rPr>
        <w:t>13</w:t>
      </w:r>
      <w:r w:rsidR="00E42F82">
        <w:rPr>
          <w:noProof/>
        </w:rPr>
        <w:fldChar w:fldCharType="end"/>
      </w:r>
      <w:r>
        <w:t xml:space="preserve"> Eksponering likviditetsrisiko – likviditetsindikatorer</w:t>
      </w:r>
      <w:bookmarkEnd w:id="46"/>
    </w:p>
    <w:p w:rsidR="00CB49EC" w:rsidRPr="00CB49EC" w:rsidRDefault="00CB49EC" w:rsidP="00CB49EC">
      <w:pPr>
        <w:rPr>
          <w:lang w:eastAsia="nb-NO"/>
        </w:rPr>
      </w:pPr>
    </w:p>
    <w:p w:rsidR="00F772E6" w:rsidRDefault="00F772E6" w:rsidP="00FF3376"/>
    <w:tbl>
      <w:tblPr>
        <w:tblW w:w="4972" w:type="dxa"/>
        <w:tblInd w:w="70" w:type="dxa"/>
        <w:tblCellMar>
          <w:left w:w="70" w:type="dxa"/>
          <w:right w:w="70" w:type="dxa"/>
        </w:tblCellMar>
        <w:tblLook w:val="04A0" w:firstRow="1" w:lastRow="0" w:firstColumn="1" w:lastColumn="0" w:noHBand="0" w:noVBand="1"/>
      </w:tblPr>
      <w:tblGrid>
        <w:gridCol w:w="3596"/>
        <w:gridCol w:w="1376"/>
      </w:tblGrid>
      <w:tr w:rsidR="00972E6F" w:rsidRPr="00972E6F" w:rsidTr="00972E6F">
        <w:trPr>
          <w:trHeight w:val="300"/>
        </w:trPr>
        <w:tc>
          <w:tcPr>
            <w:tcW w:w="3596" w:type="dxa"/>
            <w:tcBorders>
              <w:top w:val="nil"/>
              <w:left w:val="nil"/>
              <w:bottom w:val="nil"/>
              <w:right w:val="nil"/>
            </w:tcBorders>
            <w:shd w:val="clear" w:color="000000" w:fill="D9D9D9"/>
            <w:noWrap/>
            <w:vAlign w:val="bottom"/>
            <w:hideMark/>
          </w:tcPr>
          <w:p w:rsidR="00972E6F" w:rsidRPr="00972E6F" w:rsidRDefault="00972E6F" w:rsidP="00972E6F">
            <w:pPr>
              <w:rPr>
                <w:rFonts w:ascii="Calibri" w:eastAsia="Times New Roman" w:hAnsi="Calibri" w:cs="Times New Roman"/>
                <w:b/>
                <w:bCs/>
                <w:szCs w:val="18"/>
                <w:lang w:eastAsia="nb-NO"/>
              </w:rPr>
            </w:pPr>
            <w:r w:rsidRPr="00972E6F">
              <w:rPr>
                <w:rFonts w:ascii="Calibri" w:eastAsia="Times New Roman" w:hAnsi="Calibri" w:cs="Times New Roman"/>
                <w:b/>
                <w:bCs/>
                <w:szCs w:val="18"/>
                <w:lang w:eastAsia="nb-NO"/>
              </w:rPr>
              <w:t>Likviditetsindikator</w:t>
            </w:r>
          </w:p>
        </w:tc>
        <w:tc>
          <w:tcPr>
            <w:tcW w:w="1376" w:type="dxa"/>
            <w:tcBorders>
              <w:top w:val="nil"/>
              <w:left w:val="nil"/>
              <w:bottom w:val="nil"/>
              <w:right w:val="nil"/>
            </w:tcBorders>
            <w:shd w:val="clear" w:color="000000" w:fill="D9D9D9"/>
            <w:noWrap/>
            <w:vAlign w:val="bottom"/>
            <w:hideMark/>
          </w:tcPr>
          <w:p w:rsidR="00972E6F" w:rsidRPr="00972E6F" w:rsidRDefault="00972E6F" w:rsidP="00972E6F">
            <w:pPr>
              <w:rPr>
                <w:rFonts w:ascii="Calibri" w:eastAsia="Times New Roman" w:hAnsi="Calibri" w:cs="Times New Roman"/>
                <w:b/>
                <w:bCs/>
                <w:szCs w:val="18"/>
                <w:lang w:eastAsia="nb-NO"/>
              </w:rPr>
            </w:pPr>
            <w:r w:rsidRPr="00972E6F">
              <w:rPr>
                <w:rFonts w:ascii="Calibri" w:eastAsia="Times New Roman" w:hAnsi="Calibri" w:cs="Times New Roman"/>
                <w:b/>
                <w:bCs/>
                <w:szCs w:val="18"/>
                <w:lang w:eastAsia="nb-NO"/>
              </w:rPr>
              <w:t>Verdi</w:t>
            </w:r>
          </w:p>
        </w:tc>
      </w:tr>
      <w:tr w:rsidR="00972E6F" w:rsidRPr="00972E6F" w:rsidTr="00972E6F">
        <w:trPr>
          <w:trHeight w:val="300"/>
        </w:trPr>
        <w:tc>
          <w:tcPr>
            <w:tcW w:w="3596" w:type="dxa"/>
            <w:tcBorders>
              <w:top w:val="nil"/>
              <w:left w:val="nil"/>
              <w:bottom w:val="nil"/>
              <w:right w:val="nil"/>
            </w:tcBorders>
            <w:shd w:val="clear" w:color="000000" w:fill="FFFFFF"/>
            <w:noWrap/>
            <w:vAlign w:val="bottom"/>
            <w:hideMark/>
          </w:tcPr>
          <w:p w:rsidR="00972E6F" w:rsidRPr="00972E6F" w:rsidRDefault="00972E6F" w:rsidP="00972E6F">
            <w:pPr>
              <w:rPr>
                <w:rFonts w:ascii="Calibri" w:eastAsia="Times New Roman" w:hAnsi="Calibri" w:cs="Times New Roman"/>
                <w:color w:val="000000"/>
                <w:szCs w:val="18"/>
                <w:lang w:eastAsia="nb-NO"/>
              </w:rPr>
            </w:pPr>
            <w:r w:rsidRPr="00972E6F">
              <w:rPr>
                <w:rFonts w:ascii="Calibri" w:eastAsia="Times New Roman" w:hAnsi="Calibri" w:cs="Times New Roman"/>
                <w:color w:val="000000"/>
                <w:szCs w:val="18"/>
                <w:lang w:eastAsia="nb-NO"/>
              </w:rPr>
              <w:t>LBI</w:t>
            </w:r>
          </w:p>
        </w:tc>
        <w:tc>
          <w:tcPr>
            <w:tcW w:w="1376" w:type="dxa"/>
            <w:tcBorders>
              <w:top w:val="nil"/>
              <w:left w:val="nil"/>
              <w:bottom w:val="nil"/>
              <w:right w:val="nil"/>
            </w:tcBorders>
            <w:shd w:val="clear" w:color="000000" w:fill="FFFFFF"/>
            <w:noWrap/>
            <w:vAlign w:val="bottom"/>
            <w:hideMark/>
          </w:tcPr>
          <w:p w:rsidR="00972E6F" w:rsidRPr="00972E6F" w:rsidRDefault="00972E6F" w:rsidP="00972E6F">
            <w:pPr>
              <w:rPr>
                <w:rFonts w:ascii="Calibri" w:eastAsia="Times New Roman" w:hAnsi="Calibri" w:cs="Times New Roman"/>
                <w:color w:val="000000"/>
                <w:szCs w:val="18"/>
                <w:lang w:eastAsia="nb-NO"/>
              </w:rPr>
            </w:pPr>
            <w:r w:rsidRPr="00972E6F">
              <w:rPr>
                <w:rFonts w:ascii="Calibri" w:eastAsia="Times New Roman" w:hAnsi="Calibri" w:cs="Times New Roman"/>
                <w:color w:val="000000"/>
                <w:szCs w:val="18"/>
                <w:lang w:eastAsia="nb-NO"/>
              </w:rPr>
              <w:t xml:space="preserve">                123,0 </w:t>
            </w:r>
          </w:p>
        </w:tc>
      </w:tr>
      <w:tr w:rsidR="00972E6F" w:rsidRPr="00972E6F" w:rsidTr="00972E6F">
        <w:trPr>
          <w:trHeight w:val="300"/>
        </w:trPr>
        <w:tc>
          <w:tcPr>
            <w:tcW w:w="3596" w:type="dxa"/>
            <w:tcBorders>
              <w:top w:val="nil"/>
              <w:left w:val="nil"/>
              <w:bottom w:val="nil"/>
              <w:right w:val="nil"/>
            </w:tcBorders>
            <w:shd w:val="clear" w:color="000000" w:fill="FFFFFF"/>
            <w:noWrap/>
            <w:vAlign w:val="bottom"/>
            <w:hideMark/>
          </w:tcPr>
          <w:p w:rsidR="00972E6F" w:rsidRPr="00972E6F" w:rsidRDefault="00972E6F" w:rsidP="00972E6F">
            <w:pPr>
              <w:rPr>
                <w:rFonts w:ascii="Calibri" w:eastAsia="Times New Roman" w:hAnsi="Calibri" w:cs="Times New Roman"/>
                <w:color w:val="000000"/>
                <w:szCs w:val="18"/>
                <w:lang w:eastAsia="nb-NO"/>
              </w:rPr>
            </w:pPr>
            <w:r w:rsidRPr="00972E6F">
              <w:rPr>
                <w:rFonts w:ascii="Calibri" w:eastAsia="Times New Roman" w:hAnsi="Calibri" w:cs="Times New Roman"/>
                <w:color w:val="000000"/>
                <w:szCs w:val="18"/>
                <w:lang w:eastAsia="nb-NO"/>
              </w:rPr>
              <w:t>NSFR</w:t>
            </w:r>
          </w:p>
        </w:tc>
        <w:tc>
          <w:tcPr>
            <w:tcW w:w="1376" w:type="dxa"/>
            <w:tcBorders>
              <w:top w:val="nil"/>
              <w:left w:val="nil"/>
              <w:bottom w:val="nil"/>
              <w:right w:val="nil"/>
            </w:tcBorders>
            <w:shd w:val="clear" w:color="000000" w:fill="FFFFFF"/>
            <w:noWrap/>
            <w:vAlign w:val="bottom"/>
            <w:hideMark/>
          </w:tcPr>
          <w:p w:rsidR="00972E6F" w:rsidRPr="00972E6F" w:rsidRDefault="00972E6F" w:rsidP="00972E6F">
            <w:pPr>
              <w:rPr>
                <w:rFonts w:ascii="Calibri" w:eastAsia="Times New Roman" w:hAnsi="Calibri" w:cs="Times New Roman"/>
                <w:color w:val="000000"/>
                <w:szCs w:val="18"/>
                <w:lang w:eastAsia="nb-NO"/>
              </w:rPr>
            </w:pPr>
            <w:r w:rsidRPr="00972E6F">
              <w:rPr>
                <w:rFonts w:ascii="Calibri" w:eastAsia="Times New Roman" w:hAnsi="Calibri" w:cs="Times New Roman"/>
                <w:color w:val="000000"/>
                <w:szCs w:val="18"/>
                <w:lang w:eastAsia="nb-NO"/>
              </w:rPr>
              <w:t xml:space="preserve">                103,2 </w:t>
            </w:r>
          </w:p>
        </w:tc>
      </w:tr>
    </w:tbl>
    <w:p w:rsidR="00F772E6" w:rsidRDefault="00F772E6" w:rsidP="00FF3376"/>
    <w:p w:rsidR="00184993" w:rsidRDefault="00184993" w:rsidP="00FF3376"/>
    <w:p w:rsidR="00E52D60" w:rsidRDefault="00972E6F" w:rsidP="00972E6F">
      <w:pPr>
        <w:pStyle w:val="Overskrift2"/>
      </w:pPr>
      <w:bookmarkStart w:id="47" w:name="_Toc387671285"/>
      <w:r>
        <w:t>Operasjonell risiko</w:t>
      </w:r>
      <w:bookmarkEnd w:id="47"/>
    </w:p>
    <w:p w:rsidR="00972E6F" w:rsidRDefault="000B5A6C" w:rsidP="00972E6F">
      <w:r>
        <w:t xml:space="preserve">Operasjonell risiko er risiko for tap som følge av utilstrekkelige eller sviktende interne prosesser, svikt hos mennesker og systemer, eller eksterne hendelser. </w:t>
      </w:r>
      <w:r w:rsidR="00784A95">
        <w:t>Konsernet</w:t>
      </w:r>
      <w:r w:rsidR="00043E74">
        <w:t xml:space="preserve"> har vedtatt at det kan aksepteres lav til moderat operasjonell risiko, og det har i løpet av de siste årene lagt ned betydelige ressurser for å påse at risikonivået opprettholdes. </w:t>
      </w:r>
    </w:p>
    <w:p w:rsidR="00043E74" w:rsidRDefault="00043E74" w:rsidP="00972E6F"/>
    <w:p w:rsidR="00043E74" w:rsidRDefault="00043E74" w:rsidP="00043E74">
      <w:pPr>
        <w:pStyle w:val="Overskrift3"/>
      </w:pPr>
      <w:bookmarkStart w:id="48" w:name="_Toc387671286"/>
      <w:r>
        <w:t>FRAM</w:t>
      </w:r>
      <w:bookmarkEnd w:id="48"/>
    </w:p>
    <w:p w:rsidR="00043E74" w:rsidRDefault="00043E74" w:rsidP="00972E6F">
      <w:r>
        <w:t>Fo</w:t>
      </w:r>
      <w:r w:rsidR="00784A95">
        <w:t xml:space="preserve">r å sikre korrekt arbeidsmetoder </w:t>
      </w:r>
      <w:r>
        <w:t>er det igangsatt arbeid med å visualisere bankens prosesser. Dette er et omfattende prosjekt, men konsernet har prioritert kundeprosessene i første omgang. Fram er modellbasert kvalitets- og styringssystem som samler bankens prosesser, rutiner og arbeidsbeskrivelser i et verktøy:</w:t>
      </w:r>
    </w:p>
    <w:p w:rsidR="00CB49EC" w:rsidRDefault="00CB49EC" w:rsidP="00972E6F"/>
    <w:p w:rsidR="00CB49EC" w:rsidRDefault="00CB49EC" w:rsidP="00CB49EC">
      <w:pPr>
        <w:pStyle w:val="Bildetekst"/>
      </w:pPr>
      <w:bookmarkStart w:id="49" w:name="_Toc387671318"/>
      <w:r>
        <w:t xml:space="preserve">Figur </w:t>
      </w:r>
      <w:r w:rsidR="00E42F82">
        <w:fldChar w:fldCharType="begin"/>
      </w:r>
      <w:r w:rsidR="00E42F82">
        <w:instrText xml:space="preserve"> SEQ Figur \* ARABIC </w:instrText>
      </w:r>
      <w:r w:rsidR="00E42F82">
        <w:fldChar w:fldCharType="separate"/>
      </w:r>
      <w:r w:rsidR="00B06252">
        <w:rPr>
          <w:noProof/>
        </w:rPr>
        <w:t>6</w:t>
      </w:r>
      <w:r w:rsidR="00E42F82">
        <w:rPr>
          <w:noProof/>
        </w:rPr>
        <w:fldChar w:fldCharType="end"/>
      </w:r>
      <w:r>
        <w:t xml:space="preserve"> Eksponering operasjonell risiko - FRAM</w:t>
      </w:r>
      <w:bookmarkEnd w:id="49"/>
    </w:p>
    <w:p w:rsidR="00043E74" w:rsidRDefault="00043E74" w:rsidP="00972E6F"/>
    <w:p w:rsidR="00043E74" w:rsidRDefault="00043E74" w:rsidP="00972E6F">
      <w:r>
        <w:rPr>
          <w:noProof/>
          <w:lang w:eastAsia="nb-NO"/>
        </w:rPr>
        <w:drawing>
          <wp:inline distT="0" distB="0" distL="0" distR="0" wp14:anchorId="31F0BC69" wp14:editId="7B78C49C">
            <wp:extent cx="5760720" cy="411988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8B15B.tmp"/>
                    <pic:cNvPicPr/>
                  </pic:nvPicPr>
                  <pic:blipFill>
                    <a:blip r:embed="rId34">
                      <a:extLst>
                        <a:ext uri="{28A0092B-C50C-407E-A947-70E740481C1C}">
                          <a14:useLocalDpi xmlns:a14="http://schemas.microsoft.com/office/drawing/2010/main" val="0"/>
                        </a:ext>
                      </a:extLst>
                    </a:blip>
                    <a:stretch>
                      <a:fillRect/>
                    </a:stretch>
                  </pic:blipFill>
                  <pic:spPr>
                    <a:xfrm>
                      <a:off x="0" y="0"/>
                      <a:ext cx="5760720" cy="4119880"/>
                    </a:xfrm>
                    <a:prstGeom prst="rect">
                      <a:avLst/>
                    </a:prstGeom>
                  </pic:spPr>
                </pic:pic>
              </a:graphicData>
            </a:graphic>
          </wp:inline>
        </w:drawing>
      </w:r>
    </w:p>
    <w:p w:rsidR="00043E74" w:rsidRDefault="00043E74" w:rsidP="00972E6F">
      <w:r>
        <w:t>H</w:t>
      </w:r>
      <w:r w:rsidR="00A66D97">
        <w:t xml:space="preserve">ensikten med FRAM er å redusere sannsynligheten </w:t>
      </w:r>
      <w:r w:rsidR="00AD22D5">
        <w:t>for at negative operasjonelle hendelser inntreffer.</w:t>
      </w:r>
    </w:p>
    <w:p w:rsidR="00A66D97" w:rsidRDefault="00A66D97" w:rsidP="00972E6F"/>
    <w:p w:rsidR="00A66D97" w:rsidRDefault="00A66D97" w:rsidP="00A66D97">
      <w:pPr>
        <w:pStyle w:val="Overskrift3"/>
      </w:pPr>
      <w:bookmarkStart w:id="50" w:name="_Toc387671287"/>
      <w:r>
        <w:t>Autorisasjonsordningen (AFR)</w:t>
      </w:r>
      <w:bookmarkEnd w:id="50"/>
    </w:p>
    <w:p w:rsidR="00A66D97" w:rsidRDefault="00515EA0" w:rsidP="00A66D97">
      <w:r>
        <w:t xml:space="preserve">Autorisasjonsordningen for finansielle rådgivere (AFR) er en nasjonal autorisasjonsordning som fremmer og sikrer nødvendig kunnskap, holdninger og ferdigheter hos finansielle rådgivere.  Konsernet har også gjennom 2013 hatt fokus på AFR. Alle konsernets rådgivere er nå autorisert etter denne ordningen. Dette innebærer at konsernet har et høyt kompetent rådgiverkorps som ivaretar gode kundeopplevelser og kvalitet i kundeprosessene. </w:t>
      </w:r>
    </w:p>
    <w:p w:rsidR="00A66D97" w:rsidRDefault="00A66D97" w:rsidP="00A66D97"/>
    <w:p w:rsidR="00A66D97" w:rsidRDefault="00A66D97" w:rsidP="00A66D97">
      <w:pPr>
        <w:pStyle w:val="Overskrift3"/>
      </w:pPr>
      <w:bookmarkStart w:id="51" w:name="_Toc387671288"/>
      <w:r>
        <w:t>IKT sikkerhet</w:t>
      </w:r>
      <w:bookmarkEnd w:id="51"/>
    </w:p>
    <w:p w:rsidR="00A66D97" w:rsidRDefault="00963ADD" w:rsidP="00A66D97">
      <w:r>
        <w:t>Konsernet gjennomfører jevnlig risiko- og sårbarhetsanalyse for stabil og sikker IT-drift.</w:t>
      </w:r>
      <w:r w:rsidR="00612812">
        <w:t xml:space="preserve"> Siste</w:t>
      </w:r>
      <w:r w:rsidR="00784A95">
        <w:t xml:space="preserve"> gjennomførte </w:t>
      </w:r>
      <w:r w:rsidR="00612812">
        <w:t xml:space="preserve"> analyse gir ingen indikasjoner på  vesentlige risikoområder hvor anses som kritiske etter gjennomført kontrolltiltak. </w:t>
      </w:r>
    </w:p>
    <w:p w:rsidR="00784A95" w:rsidRDefault="00784A95" w:rsidP="00A66D97"/>
    <w:p w:rsidR="00A66D97" w:rsidRDefault="00A66D97" w:rsidP="00A66D97">
      <w:pPr>
        <w:pStyle w:val="Overskrift3"/>
      </w:pPr>
      <w:bookmarkStart w:id="52" w:name="_Toc387671289"/>
      <w:r>
        <w:t>Hvitvasking</w:t>
      </w:r>
      <w:bookmarkEnd w:id="52"/>
    </w:p>
    <w:p w:rsidR="00A66D97" w:rsidRDefault="00515EA0" w:rsidP="00A66D97">
      <w:r>
        <w:t>Konsernet har også gjennom 2013 hatt fokus på forebyggende arbeid for å hindre hvitvasking. Konsernet har utarbeidet nye rutiner basert på hvitvaskingsloven, med tilhørende forskrift og rundskriv fra Finanstilsynet. Formålet med rutinene er å forebygge og avdekke transaksjoner med tilknytning til utbytte av straffbare handlinger eller med transaksjoner med tilknytning til terrorhandlinger. Bankens hovedoppgave er å ha god kundekontroll og registrering, risikovurdering av alle kunde</w:t>
      </w:r>
      <w:r w:rsidR="00784A95">
        <w:t>r</w:t>
      </w:r>
      <w:r>
        <w:t>, løpende oppfølging av kundene, undersøke mistenkelige transaksjoner og kunder samt rapportering til Økokrim.</w:t>
      </w:r>
    </w:p>
    <w:p w:rsidR="00515EA0" w:rsidRDefault="00515EA0" w:rsidP="00A66D97"/>
    <w:p w:rsidR="00515EA0" w:rsidRDefault="00515EA0" w:rsidP="00A66D97">
      <w:r>
        <w:t xml:space="preserve">I tillegg til etablering av rutiner omkring hvitvasking har det også vært fokus på opplæring av samtlige ansatte omkring identifisering og rapportering av mistenkelige transaksjoner. </w:t>
      </w:r>
    </w:p>
    <w:p w:rsidR="00A66D97" w:rsidRDefault="00A66D97" w:rsidP="00A66D97"/>
    <w:p w:rsidR="00A66D97" w:rsidRDefault="00A66D97" w:rsidP="00A66D97">
      <w:pPr>
        <w:pStyle w:val="Overskrift3"/>
      </w:pPr>
      <w:bookmarkStart w:id="53" w:name="_Toc387671290"/>
      <w:r>
        <w:t>Internkontroll</w:t>
      </w:r>
      <w:bookmarkEnd w:id="53"/>
    </w:p>
    <w:p w:rsidR="00A66D97" w:rsidRPr="00A66D97" w:rsidRDefault="00C011BC" w:rsidP="00A66D97">
      <w:r>
        <w:t>Internkontroll gjennomføres på alle nivåer i konsernet. Ansvarliggjøring sikres gjennom tydelig kommunikasjon av strategiske tiltak og fastsatte mål til de ansatte. Dette blir operasjonalisert gjennom klart definerte roller, ansvar og forventninger, der områdelederne holdes ansvarlige for måloppnåelse innenfor sitt ansvarsområde.</w:t>
      </w:r>
    </w:p>
    <w:p w:rsidR="00A66D97" w:rsidRDefault="00A66D97" w:rsidP="00A66D97"/>
    <w:p w:rsidR="00A66D97" w:rsidRDefault="00A66D97" w:rsidP="00A66D97">
      <w:pPr>
        <w:pStyle w:val="Overskrift3"/>
      </w:pPr>
      <w:bookmarkStart w:id="54" w:name="_Toc387671291"/>
      <w:r>
        <w:t>Internrevisjon</w:t>
      </w:r>
      <w:bookmarkEnd w:id="54"/>
    </w:p>
    <w:p w:rsidR="00A66D97" w:rsidRDefault="00C011BC" w:rsidP="00A66D97">
      <w:r>
        <w:t xml:space="preserve">Konsernet har utkontraktert internrevisjon til BDO. Internrevisjon rapporterer til revisjonsutvalget og styret. </w:t>
      </w:r>
    </w:p>
    <w:p w:rsidR="00C011BC" w:rsidRDefault="00C011BC" w:rsidP="00A66D97"/>
    <w:p w:rsidR="00C011BC" w:rsidRDefault="00C011BC" w:rsidP="00A66D97">
      <w:r>
        <w:t>Hovedoppgaven til internrevisjon er å vurderer om den etablerte internkontroller fungerer optimalt</w:t>
      </w:r>
      <w:r w:rsidR="002C5CBA">
        <w:t>, i tillegg til at internrevisjon skal bidra til å forbedre bankens risikostyring og internkontroll.</w:t>
      </w:r>
    </w:p>
    <w:p w:rsidR="002C5CBA" w:rsidRDefault="002C5CBA" w:rsidP="00A66D97"/>
    <w:p w:rsidR="00963ADD" w:rsidRDefault="00963ADD" w:rsidP="00A66D97">
      <w:r>
        <w:t xml:space="preserve">I sin årsrapport for 2013 har internrevisjon rapportert til styret at konsernet har en grundig og god ICAAP prosess. I forhold til kredittrisiko er konsernets grunnleggende kontrollmiljø tilfredsstillende. I tillegg er det internrevisors oppfatning at det er etablert et godt, integrert system for likviditetsstyring i konsernet. </w:t>
      </w:r>
    </w:p>
    <w:p w:rsidR="002C5CBA" w:rsidRDefault="002C5CBA" w:rsidP="00A66D97"/>
    <w:p w:rsidR="00612812" w:rsidRDefault="00612812" w:rsidP="00A66D97"/>
    <w:p w:rsidR="00612812" w:rsidRDefault="00612812" w:rsidP="00612812">
      <w:pPr>
        <w:pStyle w:val="Overskrift2"/>
      </w:pPr>
      <w:bookmarkStart w:id="55" w:name="_Toc387671292"/>
      <w:r>
        <w:t>Kapitalrisiko</w:t>
      </w:r>
      <w:bookmarkEnd w:id="55"/>
    </w:p>
    <w:p w:rsidR="00612812" w:rsidRDefault="00096041" w:rsidP="00612812">
      <w:r>
        <w:t>Kapitalrisiko er risiko for at konsernet ikke har tilstrekkelig kapital for å oppfylle interne, eksterne eller markedsmessige krav til kapitalisering. I</w:t>
      </w:r>
      <w:r w:rsidR="00612812">
        <w:t xml:space="preserve"> tillegg til lov</w:t>
      </w:r>
      <w:r>
        <w:t xml:space="preserve">messig krav til kapitaldekning har konsernet både </w:t>
      </w:r>
      <w:r w:rsidR="00612812">
        <w:t>interne krav til både størrelse og kvalitet på egenkapital.</w:t>
      </w:r>
      <w:r>
        <w:t xml:space="preserve"> Konsernet sikrer lav kapitalrisiko gjennom utarbeidelse av kapitalplan og beredskapsplaner for eventuelle kapitalkriser. </w:t>
      </w:r>
    </w:p>
    <w:p w:rsidR="00096041" w:rsidRDefault="00096041" w:rsidP="00612812"/>
    <w:p w:rsidR="00096041" w:rsidRDefault="00096041" w:rsidP="00612812">
      <w:r>
        <w:t xml:space="preserve">Konsernets kapitaldekning er vist i underkapittel </w:t>
      </w:r>
      <w:r>
        <w:fldChar w:fldCharType="begin"/>
      </w:r>
      <w:r>
        <w:instrText xml:space="preserve"> REF _Ref387654147 \r \h </w:instrText>
      </w:r>
      <w:r>
        <w:fldChar w:fldCharType="separate"/>
      </w:r>
      <w:r>
        <w:t>2.3.2</w:t>
      </w:r>
      <w:r>
        <w:fldChar w:fldCharType="end"/>
      </w:r>
      <w:r>
        <w:t xml:space="preserve">. </w:t>
      </w:r>
    </w:p>
    <w:p w:rsidR="00096041" w:rsidRDefault="00096041" w:rsidP="00612812"/>
    <w:p w:rsidR="00096041" w:rsidRDefault="00096041" w:rsidP="00612812">
      <w:r>
        <w:t xml:space="preserve">Konsernet er ved utgangen av 2013 tilfredsstillende kapitalisert, en situasjon vi ikke forventer vil endre seg neste 12 mnd. </w:t>
      </w:r>
    </w:p>
    <w:p w:rsidR="00096041" w:rsidRDefault="00096041" w:rsidP="00612812"/>
    <w:p w:rsidR="00E5152E" w:rsidRDefault="00E5152E" w:rsidP="00612812"/>
    <w:p w:rsidR="00096041" w:rsidRDefault="00096041" w:rsidP="00096041">
      <w:pPr>
        <w:pStyle w:val="Overskrift2"/>
      </w:pPr>
      <w:bookmarkStart w:id="56" w:name="_Toc387671293"/>
      <w:r>
        <w:t>Strategisk risiko</w:t>
      </w:r>
      <w:bookmarkEnd w:id="56"/>
    </w:p>
    <w:p w:rsidR="00096041" w:rsidRDefault="00E211FB" w:rsidP="00096041">
      <w:r>
        <w:t xml:space="preserve">Strategisk risiko inkluderer usikkerhet omkring inntjening, egenkapital eller bankens markedsverdi som følge av uønskede hendelser eller feilaktige forretningsavgjørelser eller manglende reaksjonsevne på endringer i økonomiske eller politiske rammebetingelser. </w:t>
      </w:r>
    </w:p>
    <w:p w:rsidR="00E211FB" w:rsidRDefault="00E211FB" w:rsidP="00096041"/>
    <w:p w:rsidR="00E211FB" w:rsidRDefault="00E211FB" w:rsidP="00096041">
      <w:r>
        <w:t>Inkludert i denne risikoen er både strategiutvikling og datte</w:t>
      </w:r>
      <w:r w:rsidR="00784A95">
        <w:t>r</w:t>
      </w:r>
      <w:r>
        <w:t xml:space="preserve">selskaper. </w:t>
      </w:r>
    </w:p>
    <w:p w:rsidR="00E211FB" w:rsidRDefault="00E211FB" w:rsidP="00096041"/>
    <w:p w:rsidR="00E211FB" w:rsidRDefault="00E211FB" w:rsidP="00096041">
      <w:r>
        <w:t xml:space="preserve">Konsernet </w:t>
      </w:r>
      <w:r w:rsidR="00F720BE">
        <w:t>vurdere</w:t>
      </w:r>
      <w:r w:rsidR="00784A95">
        <w:t>r</w:t>
      </w:r>
      <w:r w:rsidR="00F720BE">
        <w:t xml:space="preserve"> den strategiske risikoen som å være vesentlig ut fra oppfatning av at forretningsmodellen til tradisjonell bankdrift nå blir utfordret gjennom at fremtidens bank vil både åpne for nye tjenester og kreve tilgang til en større spekter av digitale kanaler. Dette medfører at fremtidens bank krever både investeringer i ny teknologi og ny kompetanse. </w:t>
      </w:r>
    </w:p>
    <w:p w:rsidR="00F720BE" w:rsidRDefault="00F720BE" w:rsidP="00096041"/>
    <w:p w:rsidR="00F720BE" w:rsidRDefault="00F720BE" w:rsidP="00096041">
      <w:r>
        <w:t xml:space="preserve">Konsernet er av den oppfatning at det grunnlaget for å være med å bygge fremtidens bank legges nå. </w:t>
      </w:r>
    </w:p>
    <w:p w:rsidR="00F720BE" w:rsidRDefault="00F720BE" w:rsidP="00096041"/>
    <w:p w:rsidR="00E5152E" w:rsidRDefault="00E5152E" w:rsidP="00096041"/>
    <w:p w:rsidR="00F720BE" w:rsidRPr="00096041" w:rsidRDefault="00F720BE" w:rsidP="00F720BE">
      <w:pPr>
        <w:pStyle w:val="Overskrift2"/>
      </w:pPr>
      <w:bookmarkStart w:id="57" w:name="_Toc387671294"/>
      <w:r>
        <w:t>Etterlevelses risiko ("</w:t>
      </w:r>
      <w:proofErr w:type="spellStart"/>
      <w:r>
        <w:t>Compliance</w:t>
      </w:r>
      <w:proofErr w:type="spellEnd"/>
      <w:r>
        <w:t>")</w:t>
      </w:r>
      <w:bookmarkEnd w:id="57"/>
    </w:p>
    <w:p w:rsidR="00F720BE" w:rsidRDefault="00F720BE" w:rsidP="00FF3376">
      <w:r>
        <w:t xml:space="preserve">Etterlevelsesrisiko er risiko for redusert inntjening eller redusert kapital som følge av brudd på lover eller regler. </w:t>
      </w:r>
    </w:p>
    <w:p w:rsidR="00F720BE" w:rsidRPr="00D04E76" w:rsidRDefault="00F720BE" w:rsidP="00FF3376"/>
    <w:p w:rsidR="000761BE" w:rsidRDefault="000761BE" w:rsidP="0091410F">
      <w:pPr>
        <w:pStyle w:val="Overskrift2"/>
        <w:rPr>
          <w:color w:val="auto"/>
        </w:rPr>
      </w:pPr>
      <w:bookmarkStart w:id="58" w:name="_Toc271617103"/>
      <w:bookmarkStart w:id="59" w:name="_Toc387671295"/>
      <w:r w:rsidRPr="00F720BE">
        <w:rPr>
          <w:color w:val="auto"/>
        </w:rPr>
        <w:t>Omdømme</w:t>
      </w:r>
      <w:bookmarkEnd w:id="58"/>
      <w:r w:rsidR="00537542">
        <w:rPr>
          <w:color w:val="auto"/>
        </w:rPr>
        <w:t xml:space="preserve"> risiko</w:t>
      </w:r>
      <w:bookmarkEnd w:id="59"/>
    </w:p>
    <w:p w:rsidR="00F720BE" w:rsidRDefault="00F720BE" w:rsidP="00F720BE">
      <w:r>
        <w:t>Det er fundamentalt for konsernet å ha et godt omdømme. Dette gjelder i særlig grad</w:t>
      </w:r>
      <w:r w:rsidR="00537542">
        <w:t xml:space="preserve"> </w:t>
      </w:r>
      <w:r w:rsidR="00784A95">
        <w:t xml:space="preserve">i </w:t>
      </w:r>
      <w:r>
        <w:t xml:space="preserve">forhold til å bankens evne til å finansiere sin virksomhet, men er også gjeldene i forhold til å være en attraktiv arbeidsgiver. </w:t>
      </w:r>
    </w:p>
    <w:p w:rsidR="00537542" w:rsidRDefault="00537542" w:rsidP="00F720BE"/>
    <w:p w:rsidR="00537542" w:rsidRDefault="00537542" w:rsidP="00F720BE">
      <w:r>
        <w:t>Konsernet oppfatter at omdømmerisikoen ved utgangen av 2013 er på et tilfre</w:t>
      </w:r>
      <w:r w:rsidR="00784A95">
        <w:t>d</w:t>
      </w:r>
      <w:r>
        <w:t xml:space="preserve">sstillende nivå. </w:t>
      </w:r>
    </w:p>
    <w:p w:rsidR="00E5152E" w:rsidRDefault="00E5152E" w:rsidP="00F720BE"/>
    <w:p w:rsidR="00E5152E" w:rsidRDefault="00E5152E" w:rsidP="00F720BE"/>
    <w:p w:rsidR="00E5152E" w:rsidRDefault="00E5152E" w:rsidP="00F720BE"/>
    <w:p w:rsidR="00537542" w:rsidRDefault="00537542" w:rsidP="00F720BE"/>
    <w:p w:rsidR="00537542" w:rsidRDefault="00537542" w:rsidP="00537542">
      <w:pPr>
        <w:pStyle w:val="Overskrift2"/>
      </w:pPr>
      <w:bookmarkStart w:id="60" w:name="_Toc387671296"/>
      <w:r>
        <w:t>Andre risikoer</w:t>
      </w:r>
      <w:bookmarkEnd w:id="60"/>
    </w:p>
    <w:p w:rsidR="00537542" w:rsidRPr="00537542" w:rsidRDefault="002E70FB" w:rsidP="00537542">
      <w:r>
        <w:t>Makrobildet som er gjelde</w:t>
      </w:r>
      <w:r w:rsidR="00784A95">
        <w:t xml:space="preserve">nde i konsernets hjemmemarked </w:t>
      </w:r>
      <w:r>
        <w:t xml:space="preserve">er fremdeles sterkt, og vi forventer også at det skal forbli forholdsvis sterkt på 12 </w:t>
      </w:r>
      <w:proofErr w:type="spellStart"/>
      <w:r>
        <w:t>mnd</w:t>
      </w:r>
      <w:proofErr w:type="spellEnd"/>
      <w:r>
        <w:t xml:space="preserve"> sikt. Konsernet forventer imidlertid at investeringstakten på norsk sokkel reduseres noe i årene fremover, noe som kan ha innvirkninger på både arbeidsledighet og boligpriser. </w:t>
      </w:r>
    </w:p>
    <w:p w:rsidR="00045271" w:rsidRDefault="00045271" w:rsidP="00975F48">
      <w:pPr>
        <w:pStyle w:val="Overskrift3"/>
        <w:numPr>
          <w:ilvl w:val="0"/>
          <w:numId w:val="0"/>
        </w:numPr>
        <w:ind w:left="720"/>
        <w:rPr>
          <w:color w:val="FF0000"/>
        </w:rPr>
      </w:pPr>
      <w:bookmarkStart w:id="61" w:name="_Toc271617104"/>
    </w:p>
    <w:p w:rsidR="00E5152E" w:rsidRDefault="00E5152E">
      <w:pPr>
        <w:spacing w:after="200" w:line="276" w:lineRule="auto"/>
        <w:rPr>
          <w:rFonts w:asciiTheme="majorHAnsi" w:eastAsiaTheme="majorEastAsia" w:hAnsiTheme="majorHAnsi" w:cstheme="majorBidi"/>
          <w:b/>
          <w:bCs/>
          <w:color w:val="000000" w:themeColor="text1"/>
          <w:sz w:val="28"/>
          <w:szCs w:val="28"/>
        </w:rPr>
      </w:pPr>
      <w:r>
        <w:br w:type="page"/>
      </w:r>
    </w:p>
    <w:p w:rsidR="002E70FB" w:rsidRDefault="002E70FB" w:rsidP="002E70FB">
      <w:pPr>
        <w:pStyle w:val="Overskrift1"/>
      </w:pPr>
      <w:bookmarkStart w:id="62" w:name="_Toc387671297"/>
      <w:r>
        <w:t>Pantsetting av egne aktiva</w:t>
      </w:r>
      <w:bookmarkEnd w:id="62"/>
    </w:p>
    <w:p w:rsidR="002E70FB" w:rsidRDefault="002E70FB" w:rsidP="002E70FB">
      <w:r>
        <w:t xml:space="preserve">Konsernets finansieringsstruktur har endret seg de siste årene, da særlig etter etablering av SSB Boligkreditt. Etablering av SSB Boligkreditt medførte at konsernet fikk tilgang til finansiering gjennom utstedelse av obligasjoner med fortrinnsrett (OMF). For konsernet som helhet er det en fordel å ha en mest diversifisert finansieringsstruktur, noe som også er nedfelt i konsernets Finansstrategi. </w:t>
      </w:r>
    </w:p>
    <w:p w:rsidR="002E70FB" w:rsidRDefault="002E70FB" w:rsidP="002E70FB"/>
    <w:p w:rsidR="002E70FB" w:rsidRDefault="002E70FB" w:rsidP="002E70FB">
      <w:r>
        <w:t xml:space="preserve">I forhold til utstedelse av OMF fra SSB Boligkreditt har konsernet etablert rammer for hvor </w:t>
      </w:r>
      <w:r w:rsidR="007B30E5">
        <w:t>stor andel av konsernets boliglån som kan ov</w:t>
      </w:r>
      <w:r>
        <w:t>erføres til SSB Boligkreditt. Ved utgangen av 2013 o</w:t>
      </w:r>
      <w:r w:rsidR="00784A95">
        <w:t>verholdes etablerte rammer.</w:t>
      </w:r>
    </w:p>
    <w:p w:rsidR="002E70FB" w:rsidRDefault="002E70FB" w:rsidP="002E70FB"/>
    <w:p w:rsidR="002E70FB" w:rsidRDefault="002E70FB" w:rsidP="002E70FB">
      <w:r>
        <w:t xml:space="preserve">Ved utgangen av 2013 var stauts </w:t>
      </w:r>
      <w:r w:rsidR="007B30E5">
        <w:t>når det gjelder overførte boliglån til SSB Boligkreditt som følger:</w:t>
      </w:r>
    </w:p>
    <w:p w:rsidR="00CB49EC" w:rsidRDefault="00CB49EC" w:rsidP="002E70FB"/>
    <w:p w:rsidR="00CB49EC" w:rsidRDefault="00CB49EC" w:rsidP="00CB49EC">
      <w:pPr>
        <w:pStyle w:val="Bildetekst"/>
      </w:pPr>
      <w:bookmarkStart w:id="63" w:name="_Toc387671312"/>
      <w:r>
        <w:t xml:space="preserve">Tabell </w:t>
      </w:r>
      <w:r w:rsidR="00E42F82">
        <w:fldChar w:fldCharType="begin"/>
      </w:r>
      <w:r w:rsidR="00E42F82">
        <w:instrText xml:space="preserve"> SEQ Tabell \* ARABIC </w:instrText>
      </w:r>
      <w:r w:rsidR="00E42F82">
        <w:fldChar w:fldCharType="separate"/>
      </w:r>
      <w:r>
        <w:rPr>
          <w:noProof/>
        </w:rPr>
        <w:t>14</w:t>
      </w:r>
      <w:r w:rsidR="00E42F82">
        <w:rPr>
          <w:noProof/>
        </w:rPr>
        <w:fldChar w:fldCharType="end"/>
      </w:r>
      <w:r>
        <w:t xml:space="preserve"> Overføring av boliglån SSB Boligkreditt</w:t>
      </w:r>
      <w:bookmarkEnd w:id="63"/>
    </w:p>
    <w:p w:rsidR="007B30E5" w:rsidRDefault="007B30E5" w:rsidP="002E70FB"/>
    <w:tbl>
      <w:tblPr>
        <w:tblW w:w="7408" w:type="dxa"/>
        <w:tblInd w:w="70" w:type="dxa"/>
        <w:tblCellMar>
          <w:left w:w="70" w:type="dxa"/>
          <w:right w:w="70" w:type="dxa"/>
        </w:tblCellMar>
        <w:tblLook w:val="04A0" w:firstRow="1" w:lastRow="0" w:firstColumn="1" w:lastColumn="0" w:noHBand="0" w:noVBand="1"/>
      </w:tblPr>
      <w:tblGrid>
        <w:gridCol w:w="4976"/>
        <w:gridCol w:w="1216"/>
        <w:gridCol w:w="1216"/>
      </w:tblGrid>
      <w:tr w:rsidR="00A76BA0" w:rsidRPr="00A76BA0" w:rsidTr="00A76BA0">
        <w:trPr>
          <w:trHeight w:val="300"/>
        </w:trPr>
        <w:tc>
          <w:tcPr>
            <w:tcW w:w="4976" w:type="dxa"/>
            <w:tcBorders>
              <w:top w:val="nil"/>
              <w:left w:val="nil"/>
              <w:bottom w:val="nil"/>
              <w:right w:val="nil"/>
            </w:tcBorders>
            <w:shd w:val="clear" w:color="000000" w:fill="D9D9D9"/>
            <w:noWrap/>
            <w:vAlign w:val="bottom"/>
            <w:hideMark/>
          </w:tcPr>
          <w:p w:rsidR="00A76BA0" w:rsidRPr="00A76BA0" w:rsidRDefault="00A76BA0" w:rsidP="00A76BA0">
            <w:pPr>
              <w:rPr>
                <w:rFonts w:ascii="Calibri" w:eastAsia="Times New Roman" w:hAnsi="Calibri" w:cs="Times New Roman"/>
                <w:b/>
                <w:bCs/>
                <w:color w:val="000000"/>
                <w:szCs w:val="18"/>
                <w:lang w:eastAsia="nb-NO"/>
              </w:rPr>
            </w:pPr>
            <w:r w:rsidRPr="00A76BA0">
              <w:rPr>
                <w:rFonts w:ascii="Calibri" w:eastAsia="Times New Roman" w:hAnsi="Calibri" w:cs="Times New Roman"/>
                <w:b/>
                <w:bCs/>
                <w:color w:val="000000"/>
                <w:szCs w:val="18"/>
                <w:lang w:eastAsia="nb-NO"/>
              </w:rPr>
              <w:t>Hva</w:t>
            </w:r>
          </w:p>
        </w:tc>
        <w:tc>
          <w:tcPr>
            <w:tcW w:w="1216" w:type="dxa"/>
            <w:tcBorders>
              <w:top w:val="nil"/>
              <w:left w:val="nil"/>
              <w:bottom w:val="nil"/>
              <w:right w:val="nil"/>
            </w:tcBorders>
            <w:shd w:val="clear" w:color="000000" w:fill="D9D9D9"/>
            <w:noWrap/>
            <w:vAlign w:val="bottom"/>
            <w:hideMark/>
          </w:tcPr>
          <w:p w:rsidR="00A76BA0" w:rsidRPr="00A76BA0" w:rsidRDefault="00A76BA0" w:rsidP="00A76BA0">
            <w:pPr>
              <w:rPr>
                <w:rFonts w:ascii="Calibri" w:eastAsia="Times New Roman" w:hAnsi="Calibri" w:cs="Times New Roman"/>
                <w:b/>
                <w:bCs/>
                <w:color w:val="000000"/>
                <w:szCs w:val="18"/>
                <w:lang w:eastAsia="nb-NO"/>
              </w:rPr>
            </w:pPr>
            <w:r w:rsidRPr="00A76BA0">
              <w:rPr>
                <w:rFonts w:ascii="Calibri" w:eastAsia="Times New Roman" w:hAnsi="Calibri" w:cs="Times New Roman"/>
                <w:b/>
                <w:bCs/>
                <w:color w:val="000000"/>
                <w:szCs w:val="18"/>
                <w:lang w:eastAsia="nb-NO"/>
              </w:rPr>
              <w:t> </w:t>
            </w:r>
          </w:p>
        </w:tc>
        <w:tc>
          <w:tcPr>
            <w:tcW w:w="1216" w:type="dxa"/>
            <w:tcBorders>
              <w:top w:val="nil"/>
              <w:left w:val="nil"/>
              <w:bottom w:val="nil"/>
              <w:right w:val="nil"/>
            </w:tcBorders>
            <w:shd w:val="clear" w:color="000000" w:fill="D9D9D9"/>
            <w:noWrap/>
            <w:vAlign w:val="bottom"/>
            <w:hideMark/>
          </w:tcPr>
          <w:p w:rsidR="00A76BA0" w:rsidRPr="00A76BA0" w:rsidRDefault="00A76BA0" w:rsidP="00A76BA0">
            <w:pPr>
              <w:rPr>
                <w:rFonts w:ascii="Calibri" w:eastAsia="Times New Roman" w:hAnsi="Calibri" w:cs="Times New Roman"/>
                <w:b/>
                <w:bCs/>
                <w:color w:val="000000"/>
                <w:szCs w:val="18"/>
                <w:lang w:eastAsia="nb-NO"/>
              </w:rPr>
            </w:pPr>
            <w:r w:rsidRPr="00A76BA0">
              <w:rPr>
                <w:rFonts w:ascii="Calibri" w:eastAsia="Times New Roman" w:hAnsi="Calibri" w:cs="Times New Roman"/>
                <w:b/>
                <w:bCs/>
                <w:color w:val="000000"/>
                <w:szCs w:val="18"/>
                <w:lang w:eastAsia="nb-NO"/>
              </w:rPr>
              <w:t>Beløp</w:t>
            </w:r>
          </w:p>
        </w:tc>
      </w:tr>
      <w:tr w:rsidR="00A76BA0" w:rsidRPr="00A76BA0" w:rsidTr="00A76BA0">
        <w:trPr>
          <w:trHeight w:val="300"/>
        </w:trPr>
        <w:tc>
          <w:tcPr>
            <w:tcW w:w="4976" w:type="dxa"/>
            <w:tcBorders>
              <w:top w:val="nil"/>
              <w:left w:val="nil"/>
              <w:bottom w:val="nil"/>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Utlån konsern</w:t>
            </w:r>
          </w:p>
        </w:tc>
        <w:tc>
          <w:tcPr>
            <w:tcW w:w="1216" w:type="dxa"/>
            <w:tcBorders>
              <w:top w:val="nil"/>
              <w:left w:val="nil"/>
              <w:bottom w:val="nil"/>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p>
        </w:tc>
        <w:tc>
          <w:tcPr>
            <w:tcW w:w="1216" w:type="dxa"/>
            <w:tcBorders>
              <w:top w:val="nil"/>
              <w:left w:val="nil"/>
              <w:bottom w:val="nil"/>
              <w:right w:val="nil"/>
            </w:tcBorders>
            <w:shd w:val="clear" w:color="auto" w:fill="auto"/>
            <w:noWrap/>
            <w:vAlign w:val="bottom"/>
            <w:hideMark/>
          </w:tcPr>
          <w:p w:rsidR="00A76BA0" w:rsidRPr="00A76BA0" w:rsidRDefault="00A76BA0" w:rsidP="00A76BA0">
            <w:pPr>
              <w:jc w:val="right"/>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23.293.370</w:t>
            </w:r>
          </w:p>
        </w:tc>
      </w:tr>
      <w:tr w:rsidR="00A76BA0" w:rsidRPr="00A76BA0" w:rsidTr="00A76BA0">
        <w:trPr>
          <w:trHeight w:val="300"/>
        </w:trPr>
        <w:tc>
          <w:tcPr>
            <w:tcW w:w="4976" w:type="dxa"/>
            <w:tcBorders>
              <w:top w:val="nil"/>
              <w:left w:val="nil"/>
              <w:bottom w:val="nil"/>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PM utlån konsern</w:t>
            </w:r>
          </w:p>
        </w:tc>
        <w:tc>
          <w:tcPr>
            <w:tcW w:w="1216" w:type="dxa"/>
            <w:tcBorders>
              <w:top w:val="nil"/>
              <w:left w:val="nil"/>
              <w:bottom w:val="nil"/>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p>
        </w:tc>
        <w:tc>
          <w:tcPr>
            <w:tcW w:w="1216" w:type="dxa"/>
            <w:tcBorders>
              <w:top w:val="nil"/>
              <w:left w:val="nil"/>
              <w:bottom w:val="nil"/>
              <w:right w:val="nil"/>
            </w:tcBorders>
            <w:shd w:val="clear" w:color="auto" w:fill="auto"/>
            <w:noWrap/>
            <w:vAlign w:val="bottom"/>
            <w:hideMark/>
          </w:tcPr>
          <w:p w:rsidR="00A76BA0" w:rsidRPr="00A76BA0" w:rsidRDefault="00A76BA0" w:rsidP="00A76BA0">
            <w:pPr>
              <w:jc w:val="right"/>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15.208.966</w:t>
            </w:r>
          </w:p>
        </w:tc>
      </w:tr>
      <w:tr w:rsidR="00A76BA0" w:rsidRPr="00A76BA0" w:rsidTr="00A76BA0">
        <w:trPr>
          <w:trHeight w:val="300"/>
        </w:trPr>
        <w:tc>
          <w:tcPr>
            <w:tcW w:w="4976" w:type="dxa"/>
            <w:tcBorders>
              <w:top w:val="nil"/>
              <w:left w:val="nil"/>
              <w:bottom w:val="single" w:sz="4" w:space="0" w:color="auto"/>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PM utlån overført SSB Boligkreditt</w:t>
            </w:r>
          </w:p>
        </w:tc>
        <w:tc>
          <w:tcPr>
            <w:tcW w:w="1216" w:type="dxa"/>
            <w:tcBorders>
              <w:top w:val="nil"/>
              <w:left w:val="nil"/>
              <w:bottom w:val="single" w:sz="4" w:space="0" w:color="auto"/>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 </w:t>
            </w:r>
          </w:p>
        </w:tc>
        <w:tc>
          <w:tcPr>
            <w:tcW w:w="1216" w:type="dxa"/>
            <w:tcBorders>
              <w:top w:val="nil"/>
              <w:left w:val="nil"/>
              <w:bottom w:val="nil"/>
              <w:right w:val="nil"/>
            </w:tcBorders>
            <w:shd w:val="clear" w:color="auto" w:fill="auto"/>
            <w:noWrap/>
            <w:vAlign w:val="bottom"/>
            <w:hideMark/>
          </w:tcPr>
          <w:p w:rsidR="00A76BA0" w:rsidRPr="00A76BA0" w:rsidRDefault="00A76BA0" w:rsidP="00A76BA0">
            <w:pPr>
              <w:jc w:val="right"/>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6.665.704</w:t>
            </w:r>
          </w:p>
        </w:tc>
      </w:tr>
      <w:tr w:rsidR="00A76BA0" w:rsidRPr="00A76BA0" w:rsidTr="00A76BA0">
        <w:trPr>
          <w:trHeight w:val="300"/>
        </w:trPr>
        <w:tc>
          <w:tcPr>
            <w:tcW w:w="4976" w:type="dxa"/>
            <w:tcBorders>
              <w:top w:val="nil"/>
              <w:left w:val="nil"/>
              <w:bottom w:val="nil"/>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Innskudd konsern</w:t>
            </w:r>
          </w:p>
        </w:tc>
        <w:tc>
          <w:tcPr>
            <w:tcW w:w="1216" w:type="dxa"/>
            <w:tcBorders>
              <w:top w:val="nil"/>
              <w:left w:val="nil"/>
              <w:bottom w:val="nil"/>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p>
        </w:tc>
        <w:tc>
          <w:tcPr>
            <w:tcW w:w="1216" w:type="dxa"/>
            <w:tcBorders>
              <w:top w:val="single" w:sz="4" w:space="0" w:color="auto"/>
              <w:left w:val="nil"/>
              <w:bottom w:val="nil"/>
              <w:right w:val="nil"/>
            </w:tcBorders>
            <w:shd w:val="clear" w:color="auto" w:fill="auto"/>
            <w:noWrap/>
            <w:vAlign w:val="bottom"/>
            <w:hideMark/>
          </w:tcPr>
          <w:p w:rsidR="00A76BA0" w:rsidRPr="00A76BA0" w:rsidRDefault="00A76BA0" w:rsidP="00A76BA0">
            <w:pPr>
              <w:jc w:val="right"/>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14.692.552</w:t>
            </w:r>
          </w:p>
        </w:tc>
      </w:tr>
      <w:tr w:rsidR="00A76BA0" w:rsidRPr="00A76BA0" w:rsidTr="00A76BA0">
        <w:trPr>
          <w:trHeight w:val="300"/>
        </w:trPr>
        <w:tc>
          <w:tcPr>
            <w:tcW w:w="4976" w:type="dxa"/>
            <w:tcBorders>
              <w:top w:val="nil"/>
              <w:left w:val="nil"/>
              <w:bottom w:val="single" w:sz="4" w:space="0" w:color="auto"/>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Obligasjonslån med fortrinnsrett, pålydende (OMF)</w:t>
            </w:r>
          </w:p>
        </w:tc>
        <w:tc>
          <w:tcPr>
            <w:tcW w:w="1216" w:type="dxa"/>
            <w:tcBorders>
              <w:top w:val="nil"/>
              <w:left w:val="nil"/>
              <w:bottom w:val="single" w:sz="4" w:space="0" w:color="auto"/>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 </w:t>
            </w:r>
          </w:p>
        </w:tc>
        <w:tc>
          <w:tcPr>
            <w:tcW w:w="1216" w:type="dxa"/>
            <w:tcBorders>
              <w:top w:val="nil"/>
              <w:left w:val="nil"/>
              <w:bottom w:val="single" w:sz="4" w:space="0" w:color="auto"/>
              <w:right w:val="nil"/>
            </w:tcBorders>
            <w:shd w:val="clear" w:color="auto" w:fill="auto"/>
            <w:noWrap/>
            <w:vAlign w:val="bottom"/>
            <w:hideMark/>
          </w:tcPr>
          <w:p w:rsidR="00A76BA0" w:rsidRPr="00A76BA0" w:rsidRDefault="00A76BA0" w:rsidP="00A76BA0">
            <w:pPr>
              <w:jc w:val="right"/>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4.250.000</w:t>
            </w:r>
          </w:p>
        </w:tc>
      </w:tr>
      <w:tr w:rsidR="00A76BA0" w:rsidRPr="00A76BA0" w:rsidTr="00A76BA0">
        <w:trPr>
          <w:trHeight w:val="300"/>
        </w:trPr>
        <w:tc>
          <w:tcPr>
            <w:tcW w:w="4976" w:type="dxa"/>
            <w:tcBorders>
              <w:top w:val="nil"/>
              <w:left w:val="nil"/>
              <w:bottom w:val="nil"/>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proofErr w:type="spellStart"/>
            <w:r w:rsidRPr="00A76BA0">
              <w:rPr>
                <w:rFonts w:ascii="Calibri" w:eastAsia="Times New Roman" w:hAnsi="Calibri" w:cs="Times New Roman"/>
                <w:color w:val="000000"/>
                <w:szCs w:val="18"/>
                <w:lang w:eastAsia="nb-NO"/>
              </w:rPr>
              <w:t>Andle</w:t>
            </w:r>
            <w:proofErr w:type="spellEnd"/>
            <w:r w:rsidRPr="00A76BA0">
              <w:rPr>
                <w:rFonts w:ascii="Calibri" w:eastAsia="Times New Roman" w:hAnsi="Calibri" w:cs="Times New Roman"/>
                <w:color w:val="000000"/>
                <w:szCs w:val="18"/>
                <w:lang w:eastAsia="nb-NO"/>
              </w:rPr>
              <w:t xml:space="preserve"> utlån konsern overført SSBB</w:t>
            </w:r>
          </w:p>
        </w:tc>
        <w:tc>
          <w:tcPr>
            <w:tcW w:w="1216" w:type="dxa"/>
            <w:tcBorders>
              <w:top w:val="nil"/>
              <w:left w:val="nil"/>
              <w:bottom w:val="nil"/>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p>
        </w:tc>
        <w:tc>
          <w:tcPr>
            <w:tcW w:w="1216" w:type="dxa"/>
            <w:tcBorders>
              <w:top w:val="nil"/>
              <w:left w:val="nil"/>
              <w:bottom w:val="nil"/>
              <w:right w:val="nil"/>
            </w:tcBorders>
            <w:shd w:val="clear" w:color="auto" w:fill="auto"/>
            <w:noWrap/>
            <w:vAlign w:val="bottom"/>
            <w:hideMark/>
          </w:tcPr>
          <w:p w:rsidR="00A76BA0" w:rsidRPr="00A76BA0" w:rsidRDefault="00A76BA0" w:rsidP="00A76BA0">
            <w:pPr>
              <w:jc w:val="right"/>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28,6 %</w:t>
            </w:r>
          </w:p>
        </w:tc>
      </w:tr>
      <w:tr w:rsidR="00A76BA0" w:rsidRPr="00A76BA0" w:rsidTr="00A76BA0">
        <w:trPr>
          <w:trHeight w:val="300"/>
        </w:trPr>
        <w:tc>
          <w:tcPr>
            <w:tcW w:w="4976" w:type="dxa"/>
            <w:tcBorders>
              <w:top w:val="nil"/>
              <w:left w:val="nil"/>
              <w:bottom w:val="single" w:sz="4" w:space="0" w:color="auto"/>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Andel PM utlån overført SSBB</w:t>
            </w:r>
          </w:p>
        </w:tc>
        <w:tc>
          <w:tcPr>
            <w:tcW w:w="1216" w:type="dxa"/>
            <w:tcBorders>
              <w:top w:val="nil"/>
              <w:left w:val="nil"/>
              <w:bottom w:val="single" w:sz="4" w:space="0" w:color="auto"/>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 </w:t>
            </w:r>
          </w:p>
        </w:tc>
        <w:tc>
          <w:tcPr>
            <w:tcW w:w="1216" w:type="dxa"/>
            <w:tcBorders>
              <w:top w:val="nil"/>
              <w:left w:val="nil"/>
              <w:bottom w:val="single" w:sz="4" w:space="0" w:color="auto"/>
              <w:right w:val="nil"/>
            </w:tcBorders>
            <w:shd w:val="clear" w:color="auto" w:fill="auto"/>
            <w:noWrap/>
            <w:vAlign w:val="bottom"/>
            <w:hideMark/>
          </w:tcPr>
          <w:p w:rsidR="00A76BA0" w:rsidRPr="00A76BA0" w:rsidRDefault="00A76BA0" w:rsidP="00A76BA0">
            <w:pPr>
              <w:jc w:val="right"/>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43,8 %</w:t>
            </w:r>
          </w:p>
        </w:tc>
      </w:tr>
      <w:tr w:rsidR="00A76BA0" w:rsidRPr="00A76BA0" w:rsidTr="00A76BA0">
        <w:trPr>
          <w:trHeight w:val="300"/>
        </w:trPr>
        <w:tc>
          <w:tcPr>
            <w:tcW w:w="4976" w:type="dxa"/>
            <w:tcBorders>
              <w:top w:val="nil"/>
              <w:left w:val="nil"/>
              <w:bottom w:val="nil"/>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proofErr w:type="spellStart"/>
            <w:r w:rsidRPr="00A76BA0">
              <w:rPr>
                <w:rFonts w:ascii="Calibri" w:eastAsia="Times New Roman" w:hAnsi="Calibri" w:cs="Times New Roman"/>
                <w:color w:val="000000"/>
                <w:szCs w:val="18"/>
                <w:lang w:eastAsia="nb-NO"/>
              </w:rPr>
              <w:t>Innskuddekning</w:t>
            </w:r>
            <w:proofErr w:type="spellEnd"/>
            <w:r w:rsidRPr="00A76BA0">
              <w:rPr>
                <w:rFonts w:ascii="Calibri" w:eastAsia="Times New Roman" w:hAnsi="Calibri" w:cs="Times New Roman"/>
                <w:color w:val="000000"/>
                <w:szCs w:val="18"/>
                <w:lang w:eastAsia="nb-NO"/>
              </w:rPr>
              <w:t xml:space="preserve"> konsern</w:t>
            </w:r>
          </w:p>
        </w:tc>
        <w:tc>
          <w:tcPr>
            <w:tcW w:w="1216" w:type="dxa"/>
            <w:tcBorders>
              <w:top w:val="nil"/>
              <w:left w:val="nil"/>
              <w:bottom w:val="nil"/>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p>
        </w:tc>
        <w:tc>
          <w:tcPr>
            <w:tcW w:w="1216" w:type="dxa"/>
            <w:tcBorders>
              <w:top w:val="nil"/>
              <w:left w:val="nil"/>
              <w:bottom w:val="nil"/>
              <w:right w:val="nil"/>
            </w:tcBorders>
            <w:shd w:val="clear" w:color="auto" w:fill="auto"/>
            <w:noWrap/>
            <w:vAlign w:val="bottom"/>
            <w:hideMark/>
          </w:tcPr>
          <w:p w:rsidR="00A76BA0" w:rsidRPr="00A76BA0" w:rsidRDefault="00A76BA0" w:rsidP="00A76BA0">
            <w:pPr>
              <w:jc w:val="right"/>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63,1 %</w:t>
            </w:r>
          </w:p>
        </w:tc>
      </w:tr>
      <w:tr w:rsidR="00A76BA0" w:rsidRPr="00A76BA0" w:rsidTr="00A76BA0">
        <w:trPr>
          <w:trHeight w:val="300"/>
        </w:trPr>
        <w:tc>
          <w:tcPr>
            <w:tcW w:w="4976" w:type="dxa"/>
            <w:tcBorders>
              <w:top w:val="nil"/>
              <w:left w:val="nil"/>
              <w:bottom w:val="nil"/>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Innskuddsdekning morbank</w:t>
            </w:r>
          </w:p>
        </w:tc>
        <w:tc>
          <w:tcPr>
            <w:tcW w:w="1216" w:type="dxa"/>
            <w:tcBorders>
              <w:top w:val="nil"/>
              <w:left w:val="nil"/>
              <w:bottom w:val="nil"/>
              <w:right w:val="nil"/>
            </w:tcBorders>
            <w:shd w:val="clear" w:color="auto" w:fill="auto"/>
            <w:noWrap/>
            <w:vAlign w:val="bottom"/>
            <w:hideMark/>
          </w:tcPr>
          <w:p w:rsidR="00A76BA0" w:rsidRPr="00A76BA0" w:rsidRDefault="00A76BA0" w:rsidP="00A76BA0">
            <w:pPr>
              <w:rPr>
                <w:rFonts w:ascii="Calibri" w:eastAsia="Times New Roman" w:hAnsi="Calibri" w:cs="Times New Roman"/>
                <w:color w:val="000000"/>
                <w:szCs w:val="18"/>
                <w:lang w:eastAsia="nb-NO"/>
              </w:rPr>
            </w:pPr>
          </w:p>
        </w:tc>
        <w:tc>
          <w:tcPr>
            <w:tcW w:w="1216" w:type="dxa"/>
            <w:tcBorders>
              <w:top w:val="nil"/>
              <w:left w:val="nil"/>
              <w:bottom w:val="nil"/>
              <w:right w:val="nil"/>
            </w:tcBorders>
            <w:shd w:val="clear" w:color="auto" w:fill="auto"/>
            <w:noWrap/>
            <w:vAlign w:val="bottom"/>
            <w:hideMark/>
          </w:tcPr>
          <w:p w:rsidR="00A76BA0" w:rsidRPr="00A76BA0" w:rsidRDefault="00A76BA0" w:rsidP="00A76BA0">
            <w:pPr>
              <w:jc w:val="right"/>
              <w:rPr>
                <w:rFonts w:ascii="Calibri" w:eastAsia="Times New Roman" w:hAnsi="Calibri" w:cs="Times New Roman"/>
                <w:color w:val="000000"/>
                <w:szCs w:val="18"/>
                <w:lang w:eastAsia="nb-NO"/>
              </w:rPr>
            </w:pPr>
            <w:r w:rsidRPr="00A76BA0">
              <w:rPr>
                <w:rFonts w:ascii="Calibri" w:eastAsia="Times New Roman" w:hAnsi="Calibri" w:cs="Times New Roman"/>
                <w:color w:val="000000"/>
                <w:szCs w:val="18"/>
                <w:lang w:eastAsia="nb-NO"/>
              </w:rPr>
              <w:t>88,5 %</w:t>
            </w:r>
          </w:p>
        </w:tc>
      </w:tr>
    </w:tbl>
    <w:p w:rsidR="00A76BA0" w:rsidRDefault="00A76BA0" w:rsidP="002E70FB"/>
    <w:p w:rsidR="00CB49EC" w:rsidRPr="002E70FB" w:rsidRDefault="00CB49EC" w:rsidP="002E70FB">
      <w:r>
        <w:t xml:space="preserve">Konsernet er tilfreds med graden av overføring av boliglån til SSB Boligkreditt. </w:t>
      </w:r>
    </w:p>
    <w:bookmarkEnd w:id="61"/>
    <w:p w:rsidR="00E5152E" w:rsidRDefault="00E5152E">
      <w:pPr>
        <w:spacing w:after="200" w:line="276" w:lineRule="auto"/>
        <w:rPr>
          <w:rFonts w:asciiTheme="majorHAnsi" w:eastAsiaTheme="majorEastAsia" w:hAnsiTheme="majorHAnsi" w:cstheme="majorBidi"/>
          <w:b/>
          <w:bCs/>
          <w:sz w:val="28"/>
          <w:szCs w:val="28"/>
        </w:rPr>
      </w:pPr>
      <w:r>
        <w:br w:type="page"/>
      </w:r>
    </w:p>
    <w:p w:rsidR="00214B26" w:rsidRPr="005804DE" w:rsidRDefault="007E390D" w:rsidP="007C4E53">
      <w:pPr>
        <w:pStyle w:val="Overskrift1"/>
        <w:rPr>
          <w:color w:val="auto"/>
        </w:rPr>
      </w:pPr>
      <w:bookmarkStart w:id="64" w:name="_Toc387671298"/>
      <w:r w:rsidRPr="005804DE">
        <w:rPr>
          <w:color w:val="auto"/>
        </w:rPr>
        <w:t>Avkastning og utbyttepolitikk</w:t>
      </w:r>
      <w:bookmarkEnd w:id="64"/>
    </w:p>
    <w:p w:rsidR="00214B26" w:rsidRPr="005804DE" w:rsidRDefault="00214B26"/>
    <w:p w:rsidR="00214B26" w:rsidRPr="005804DE" w:rsidRDefault="007E390D" w:rsidP="00CB49EC">
      <w:r w:rsidRPr="005804DE">
        <w:t xml:space="preserve">Sandnes Sparebank har som mål å forvalte sine samlede ressurser slik at egenkapitalbeviseierne gis en god, stabil og konkurransedyktig avkastning i form av utbytte og kursstigning. Årsoverskuddet fordeles mellom eierandelskapitalen (egenkapitalbeviseierne) og </w:t>
      </w:r>
      <w:proofErr w:type="spellStart"/>
      <w:r w:rsidRPr="005804DE">
        <w:t>eg</w:t>
      </w:r>
      <w:r w:rsidR="00784A95">
        <w:t>enkapitalbevisandelen</w:t>
      </w:r>
      <w:r w:rsidRPr="005804DE">
        <w:t>i</w:t>
      </w:r>
      <w:proofErr w:type="spellEnd"/>
      <w:r w:rsidRPr="005804DE">
        <w:t xml:space="preserve"> samme forhold som deres respektive andel av bankens egenkapital. Sandnes Sparebank legger til grunn at inntil ha</w:t>
      </w:r>
      <w:r w:rsidR="008B0A65" w:rsidRPr="005804DE">
        <w:t>lvparten av eierandelskapitalens andel av overskuddet utbetales som utbytte, og tilsvarende at inntil halvparten av egenkapitalbeviskapitalens andel av overskuddet utbetales som gaver eller overføres til en stiftelse med slikt formål</w:t>
      </w:r>
      <w:r w:rsidR="00A503E4" w:rsidRPr="005804DE">
        <w:t>. I vurderingen vil det bli lagt vekt på at egenkapitalbeviseiernes andel av samlet egenkapital (eierbrøk) bør holdes stabil.</w:t>
      </w:r>
    </w:p>
    <w:p w:rsidR="005804DE" w:rsidRPr="005804DE" w:rsidRDefault="005804DE" w:rsidP="00CB49EC"/>
    <w:p w:rsidR="005804DE" w:rsidRPr="005804DE" w:rsidRDefault="005804DE" w:rsidP="00CB49EC">
      <w:r w:rsidRPr="005804DE">
        <w:t xml:space="preserve">Ved fastsettelsen av det samlede utdelingsnivået tas det hensyn til forventet resultatutvikling, eksterne rammebetingelser og konsernets vurderte behov for kjernekapital. </w:t>
      </w:r>
    </w:p>
    <w:p w:rsidR="005804DE" w:rsidRPr="005804DE" w:rsidRDefault="005804DE" w:rsidP="00CB49EC"/>
    <w:p w:rsidR="00214B26" w:rsidRPr="005804DE" w:rsidRDefault="005804DE" w:rsidP="00CB49EC">
      <w:pPr>
        <w:jc w:val="both"/>
      </w:pPr>
      <w:r w:rsidRPr="005804DE">
        <w:t>Bankens mål er å oppnå en inntjening som gir en konkurransedyktig avkastning på bankens samlede egenkapital. Banken har gjennom 2013 oppnådd sin målsetning om å redusere tapsutsatte engasjementer til et normalt nivå. Målsetningen av egenkapitalavkastning er økt til 9 %.</w:t>
      </w:r>
    </w:p>
    <w:p w:rsidR="005804DE" w:rsidRPr="005804DE" w:rsidRDefault="005804DE">
      <w:pPr>
        <w:jc w:val="both"/>
      </w:pPr>
    </w:p>
    <w:sectPr w:rsidR="005804DE" w:rsidRPr="005804DE" w:rsidSect="003B2C17">
      <w:footerReference w:type="default" r:id="rId3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82" w:rsidRDefault="00E42F82" w:rsidP="00AF2ECC">
      <w:r>
        <w:separator/>
      </w:r>
    </w:p>
  </w:endnote>
  <w:endnote w:type="continuationSeparator" w:id="0">
    <w:p w:rsidR="00E42F82" w:rsidRDefault="00E42F82" w:rsidP="00AF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D0" w:rsidRDefault="00425AD0">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D0" w:rsidRDefault="00425AD0">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D0" w:rsidRDefault="00425AD0">
    <w:pPr>
      <w:pStyle w:val="Bunn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07" w:rsidRDefault="00895407" w:rsidP="00AF2ECC">
    <w:pPr>
      <w:pStyle w:val="Bunntekst"/>
      <w:ind w:firstLine="708"/>
      <w:jc w:val="right"/>
    </w:pPr>
    <w:r>
      <w:fldChar w:fldCharType="begin"/>
    </w:r>
    <w:r>
      <w:instrText xml:space="preserve"> PAGE   \* MERGEFORMAT </w:instrText>
    </w:r>
    <w:r>
      <w:fldChar w:fldCharType="separate"/>
    </w:r>
    <w:r w:rsidR="00F9320D">
      <w:rPr>
        <w:noProof/>
      </w:rPr>
      <w:t>23</w:t>
    </w:r>
    <w:r>
      <w:rPr>
        <w:noProof/>
      </w:rPr>
      <w:fldChar w:fldCharType="end"/>
    </w:r>
  </w:p>
  <w:p w:rsidR="00895407" w:rsidRDefault="0089540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82" w:rsidRDefault="00E42F82" w:rsidP="00AF2ECC">
      <w:r>
        <w:separator/>
      </w:r>
    </w:p>
  </w:footnote>
  <w:footnote w:type="continuationSeparator" w:id="0">
    <w:p w:rsidR="00E42F82" w:rsidRDefault="00E42F82" w:rsidP="00AF2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D0" w:rsidRDefault="00425AD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D0" w:rsidRDefault="00425AD0">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D0" w:rsidRDefault="00425AD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F30"/>
    <w:multiLevelType w:val="hybridMultilevel"/>
    <w:tmpl w:val="B83660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3F50EA"/>
    <w:multiLevelType w:val="hybridMultilevel"/>
    <w:tmpl w:val="9DD0E25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7975C63"/>
    <w:multiLevelType w:val="hybridMultilevel"/>
    <w:tmpl w:val="FC6ECD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9594FEB"/>
    <w:multiLevelType w:val="hybridMultilevel"/>
    <w:tmpl w:val="576072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9972739"/>
    <w:multiLevelType w:val="hybridMultilevel"/>
    <w:tmpl w:val="EA4E69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0B40812"/>
    <w:multiLevelType w:val="hybridMultilevel"/>
    <w:tmpl w:val="8D14C8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0C6221B"/>
    <w:multiLevelType w:val="hybridMultilevel"/>
    <w:tmpl w:val="1F8EFE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484405E"/>
    <w:multiLevelType w:val="hybridMultilevel"/>
    <w:tmpl w:val="349A4AE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72A589A"/>
    <w:multiLevelType w:val="hybridMultilevel"/>
    <w:tmpl w:val="A7FC0C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A5678F7"/>
    <w:multiLevelType w:val="hybridMultilevel"/>
    <w:tmpl w:val="C1E62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B386C8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B15262"/>
    <w:multiLevelType w:val="multilevel"/>
    <w:tmpl w:val="67C8D0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F0129CA"/>
    <w:multiLevelType w:val="hybridMultilevel"/>
    <w:tmpl w:val="C188199E"/>
    <w:lvl w:ilvl="0" w:tplc="0414000D">
      <w:start w:val="1"/>
      <w:numFmt w:val="bullet"/>
      <w:lvlText w:val=""/>
      <w:lvlJc w:val="left"/>
      <w:pPr>
        <w:ind w:left="3600" w:hanging="360"/>
      </w:pPr>
      <w:rPr>
        <w:rFonts w:ascii="Wingdings" w:hAnsi="Wingdings" w:hint="default"/>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tentative="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13">
    <w:nsid w:val="24C12BE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377BEA"/>
    <w:multiLevelType w:val="hybridMultilevel"/>
    <w:tmpl w:val="26FCE6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2FE63FF2"/>
    <w:multiLevelType w:val="hybridMultilevel"/>
    <w:tmpl w:val="F190DE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2C03BF4"/>
    <w:multiLevelType w:val="hybridMultilevel"/>
    <w:tmpl w:val="A2D2C7D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0094F37"/>
    <w:multiLevelType w:val="hybridMultilevel"/>
    <w:tmpl w:val="B1D4C1F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425C006A"/>
    <w:multiLevelType w:val="hybridMultilevel"/>
    <w:tmpl w:val="06CC16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45B85450"/>
    <w:multiLevelType w:val="hybridMultilevel"/>
    <w:tmpl w:val="98D47AA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9A74AC2"/>
    <w:multiLevelType w:val="hybridMultilevel"/>
    <w:tmpl w:val="98661E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33D13B0"/>
    <w:multiLevelType w:val="hybridMultilevel"/>
    <w:tmpl w:val="633A372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546436CA"/>
    <w:multiLevelType w:val="hybridMultilevel"/>
    <w:tmpl w:val="4E28C240"/>
    <w:lvl w:ilvl="0" w:tplc="0414000D">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3">
    <w:nsid w:val="552E0C05"/>
    <w:multiLevelType w:val="hybridMultilevel"/>
    <w:tmpl w:val="A288C8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59420BE5"/>
    <w:multiLevelType w:val="hybridMultilevel"/>
    <w:tmpl w:val="F15E35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5BB02A8E"/>
    <w:multiLevelType w:val="hybridMultilevel"/>
    <w:tmpl w:val="7F2410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5BD82E2C"/>
    <w:multiLevelType w:val="hybridMultilevel"/>
    <w:tmpl w:val="F09EA7B0"/>
    <w:lvl w:ilvl="0" w:tplc="04140001">
      <w:start w:val="1"/>
      <w:numFmt w:val="bullet"/>
      <w:lvlText w:val=""/>
      <w:lvlJc w:val="left"/>
      <w:pPr>
        <w:ind w:left="3600" w:hanging="360"/>
      </w:pPr>
      <w:rPr>
        <w:rFonts w:ascii="Symbol" w:hAnsi="Symbol" w:hint="default"/>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tentative="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27">
    <w:nsid w:val="5EE13A83"/>
    <w:multiLevelType w:val="hybridMultilevel"/>
    <w:tmpl w:val="052E2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60987DB0"/>
    <w:multiLevelType w:val="hybridMultilevel"/>
    <w:tmpl w:val="AF549646"/>
    <w:lvl w:ilvl="0" w:tplc="177AF410">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nsid w:val="65BB09E2"/>
    <w:multiLevelType w:val="hybridMultilevel"/>
    <w:tmpl w:val="CDE676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692F7892"/>
    <w:multiLevelType w:val="hybridMultilevel"/>
    <w:tmpl w:val="7A5E0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6E8127B7"/>
    <w:multiLevelType w:val="hybridMultilevel"/>
    <w:tmpl w:val="A308F2B2"/>
    <w:lvl w:ilvl="0" w:tplc="04140001">
      <w:start w:val="1"/>
      <w:numFmt w:val="bullet"/>
      <w:lvlText w:val=""/>
      <w:lvlJc w:val="left"/>
      <w:pPr>
        <w:ind w:left="936" w:hanging="360"/>
      </w:pPr>
      <w:rPr>
        <w:rFonts w:ascii="Symbol" w:hAnsi="Symbol"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32">
    <w:nsid w:val="7058352D"/>
    <w:multiLevelType w:val="hybridMultilevel"/>
    <w:tmpl w:val="9BA2303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7202034D"/>
    <w:multiLevelType w:val="multilevel"/>
    <w:tmpl w:val="E6666E28"/>
    <w:lvl w:ilvl="0">
      <w:start w:val="1"/>
      <w:numFmt w:val="decimal"/>
      <w:pStyle w:val="Overskrift1"/>
      <w:lvlText w:val="%1"/>
      <w:lvlJc w:val="left"/>
      <w:pPr>
        <w:ind w:left="432" w:hanging="432"/>
      </w:pPr>
      <w:rPr>
        <w:sz w:val="28"/>
        <w:szCs w:val="28"/>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rPr>
        <w:color w:val="auto"/>
      </w:r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4">
    <w:nsid w:val="723C493F"/>
    <w:multiLevelType w:val="multilevel"/>
    <w:tmpl w:val="6BB0C6BE"/>
    <w:lvl w:ilvl="0">
      <w:start w:val="1"/>
      <w:numFmt w:val="decimal"/>
      <w:lvlText w:val="%1"/>
      <w:lvlJc w:val="left"/>
      <w:pPr>
        <w:ind w:left="360" w:hanging="360"/>
      </w:pPr>
      <w:rPr>
        <w:rFonts w:cs="Arial" w:hint="default"/>
        <w:b w:val="0"/>
        <w:color w:val="auto"/>
        <w:sz w:val="18"/>
      </w:rPr>
    </w:lvl>
    <w:lvl w:ilvl="1">
      <w:start w:val="1"/>
      <w:numFmt w:val="decimal"/>
      <w:lvlText w:val="%1.%2"/>
      <w:lvlJc w:val="left"/>
      <w:pPr>
        <w:ind w:left="360" w:hanging="360"/>
      </w:pPr>
      <w:rPr>
        <w:rFonts w:cs="Arial" w:hint="default"/>
        <w:b w:val="0"/>
        <w:color w:val="auto"/>
        <w:sz w:val="18"/>
      </w:rPr>
    </w:lvl>
    <w:lvl w:ilvl="2">
      <w:start w:val="1"/>
      <w:numFmt w:val="decimal"/>
      <w:lvlText w:val="%1.%2.%3"/>
      <w:lvlJc w:val="left"/>
      <w:pPr>
        <w:ind w:left="720" w:hanging="720"/>
      </w:pPr>
      <w:rPr>
        <w:rFonts w:cs="Arial" w:hint="default"/>
        <w:b w:val="0"/>
        <w:color w:val="auto"/>
        <w:sz w:val="18"/>
      </w:rPr>
    </w:lvl>
    <w:lvl w:ilvl="3">
      <w:start w:val="1"/>
      <w:numFmt w:val="decimal"/>
      <w:lvlText w:val="%1.%2.%3.%4"/>
      <w:lvlJc w:val="left"/>
      <w:pPr>
        <w:ind w:left="720" w:hanging="720"/>
      </w:pPr>
      <w:rPr>
        <w:rFonts w:cs="Arial" w:hint="default"/>
        <w:b w:val="0"/>
        <w:color w:val="auto"/>
        <w:sz w:val="18"/>
      </w:rPr>
    </w:lvl>
    <w:lvl w:ilvl="4">
      <w:start w:val="1"/>
      <w:numFmt w:val="decimal"/>
      <w:lvlText w:val="%1.%2.%3.%4.%5"/>
      <w:lvlJc w:val="left"/>
      <w:pPr>
        <w:ind w:left="1080" w:hanging="1080"/>
      </w:pPr>
      <w:rPr>
        <w:rFonts w:cs="Arial" w:hint="default"/>
        <w:b w:val="0"/>
        <w:color w:val="auto"/>
        <w:sz w:val="18"/>
      </w:rPr>
    </w:lvl>
    <w:lvl w:ilvl="5">
      <w:start w:val="1"/>
      <w:numFmt w:val="decimal"/>
      <w:lvlText w:val="%1.%2.%3.%4.%5.%6"/>
      <w:lvlJc w:val="left"/>
      <w:pPr>
        <w:ind w:left="1080" w:hanging="1080"/>
      </w:pPr>
      <w:rPr>
        <w:rFonts w:cs="Arial" w:hint="default"/>
        <w:b w:val="0"/>
        <w:color w:val="auto"/>
        <w:sz w:val="18"/>
      </w:rPr>
    </w:lvl>
    <w:lvl w:ilvl="6">
      <w:start w:val="1"/>
      <w:numFmt w:val="decimal"/>
      <w:lvlText w:val="%1.%2.%3.%4.%5.%6.%7"/>
      <w:lvlJc w:val="left"/>
      <w:pPr>
        <w:ind w:left="1440" w:hanging="1440"/>
      </w:pPr>
      <w:rPr>
        <w:rFonts w:cs="Arial" w:hint="default"/>
        <w:b w:val="0"/>
        <w:color w:val="auto"/>
        <w:sz w:val="18"/>
      </w:rPr>
    </w:lvl>
    <w:lvl w:ilvl="7">
      <w:start w:val="1"/>
      <w:numFmt w:val="decimal"/>
      <w:lvlText w:val="%1.%2.%3.%4.%5.%6.%7.%8"/>
      <w:lvlJc w:val="left"/>
      <w:pPr>
        <w:ind w:left="1440" w:hanging="1440"/>
      </w:pPr>
      <w:rPr>
        <w:rFonts w:cs="Arial" w:hint="default"/>
        <w:b w:val="0"/>
        <w:color w:val="auto"/>
        <w:sz w:val="18"/>
      </w:rPr>
    </w:lvl>
    <w:lvl w:ilvl="8">
      <w:start w:val="1"/>
      <w:numFmt w:val="decimal"/>
      <w:lvlText w:val="%1.%2.%3.%4.%5.%6.%7.%8.%9"/>
      <w:lvlJc w:val="left"/>
      <w:pPr>
        <w:ind w:left="1800" w:hanging="1800"/>
      </w:pPr>
      <w:rPr>
        <w:rFonts w:cs="Arial" w:hint="default"/>
        <w:b w:val="0"/>
        <w:color w:val="auto"/>
        <w:sz w:val="18"/>
      </w:rPr>
    </w:lvl>
  </w:abstractNum>
  <w:abstractNum w:abstractNumId="35">
    <w:nsid w:val="7AF60DDD"/>
    <w:multiLevelType w:val="hybridMultilevel"/>
    <w:tmpl w:val="A3F2E64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7B640707"/>
    <w:multiLevelType w:val="hybridMultilevel"/>
    <w:tmpl w:val="B70CE2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4"/>
  </w:num>
  <w:num w:numId="2">
    <w:abstractNumId w:val="9"/>
  </w:num>
  <w:num w:numId="3">
    <w:abstractNumId w:val="4"/>
  </w:num>
  <w:num w:numId="4">
    <w:abstractNumId w:val="36"/>
  </w:num>
  <w:num w:numId="5">
    <w:abstractNumId w:val="11"/>
  </w:num>
  <w:num w:numId="6">
    <w:abstractNumId w:val="34"/>
  </w:num>
  <w:num w:numId="7">
    <w:abstractNumId w:val="20"/>
  </w:num>
  <w:num w:numId="8">
    <w:abstractNumId w:val="2"/>
  </w:num>
  <w:num w:numId="9">
    <w:abstractNumId w:val="0"/>
  </w:num>
  <w:num w:numId="10">
    <w:abstractNumId w:val="18"/>
  </w:num>
  <w:num w:numId="11">
    <w:abstractNumId w:val="8"/>
  </w:num>
  <w:num w:numId="12">
    <w:abstractNumId w:val="29"/>
  </w:num>
  <w:num w:numId="13">
    <w:abstractNumId w:val="14"/>
  </w:num>
  <w:num w:numId="14">
    <w:abstractNumId w:val="27"/>
  </w:num>
  <w:num w:numId="15">
    <w:abstractNumId w:val="15"/>
  </w:num>
  <w:num w:numId="16">
    <w:abstractNumId w:val="3"/>
  </w:num>
  <w:num w:numId="17">
    <w:abstractNumId w:val="30"/>
  </w:num>
  <w:num w:numId="18">
    <w:abstractNumId w:val="1"/>
  </w:num>
  <w:num w:numId="19">
    <w:abstractNumId w:val="35"/>
  </w:num>
  <w:num w:numId="20">
    <w:abstractNumId w:val="33"/>
  </w:num>
  <w:num w:numId="21">
    <w:abstractNumId w:val="28"/>
  </w:num>
  <w:num w:numId="22">
    <w:abstractNumId w:val="10"/>
  </w:num>
  <w:num w:numId="23">
    <w:abstractNumId w:val="13"/>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3"/>
  </w:num>
  <w:num w:numId="27">
    <w:abstractNumId w:val="25"/>
  </w:num>
  <w:num w:numId="28">
    <w:abstractNumId w:val="17"/>
  </w:num>
  <w:num w:numId="29">
    <w:abstractNumId w:val="7"/>
  </w:num>
  <w:num w:numId="30">
    <w:abstractNumId w:val="21"/>
  </w:num>
  <w:num w:numId="31">
    <w:abstractNumId w:val="16"/>
  </w:num>
  <w:num w:numId="32">
    <w:abstractNumId w:val="12"/>
  </w:num>
  <w:num w:numId="33">
    <w:abstractNumId w:val="22"/>
  </w:num>
  <w:num w:numId="34">
    <w:abstractNumId w:val="19"/>
  </w:num>
  <w:num w:numId="35">
    <w:abstractNumId w:val="32"/>
  </w:num>
  <w:num w:numId="36">
    <w:abstractNumId w:val="26"/>
  </w:num>
  <w:num w:numId="37">
    <w:abstractNumId w:val="31"/>
  </w:num>
  <w:num w:numId="3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AMO_XmlVersion" w:val="Empty"/>
  </w:docVars>
  <w:rsids>
    <w:rsidRoot w:val="00A336E3"/>
    <w:rsid w:val="00000028"/>
    <w:rsid w:val="00000F6D"/>
    <w:rsid w:val="00001181"/>
    <w:rsid w:val="00005B41"/>
    <w:rsid w:val="00007657"/>
    <w:rsid w:val="00010B6C"/>
    <w:rsid w:val="000127F6"/>
    <w:rsid w:val="0001312A"/>
    <w:rsid w:val="0001421A"/>
    <w:rsid w:val="00015BAC"/>
    <w:rsid w:val="00016540"/>
    <w:rsid w:val="00016664"/>
    <w:rsid w:val="0002142C"/>
    <w:rsid w:val="000253EB"/>
    <w:rsid w:val="00025F79"/>
    <w:rsid w:val="00026308"/>
    <w:rsid w:val="00030411"/>
    <w:rsid w:val="00031BA9"/>
    <w:rsid w:val="00032431"/>
    <w:rsid w:val="000325FD"/>
    <w:rsid w:val="00032E7C"/>
    <w:rsid w:val="0003343F"/>
    <w:rsid w:val="000418C8"/>
    <w:rsid w:val="0004230B"/>
    <w:rsid w:val="000423CF"/>
    <w:rsid w:val="00043E74"/>
    <w:rsid w:val="00044AD9"/>
    <w:rsid w:val="00044D23"/>
    <w:rsid w:val="00045271"/>
    <w:rsid w:val="00045A5A"/>
    <w:rsid w:val="00046548"/>
    <w:rsid w:val="00046D4E"/>
    <w:rsid w:val="000476C0"/>
    <w:rsid w:val="0005145B"/>
    <w:rsid w:val="00054472"/>
    <w:rsid w:val="00054584"/>
    <w:rsid w:val="00054A3F"/>
    <w:rsid w:val="0006037A"/>
    <w:rsid w:val="0006078A"/>
    <w:rsid w:val="00060B0E"/>
    <w:rsid w:val="00060F90"/>
    <w:rsid w:val="00062314"/>
    <w:rsid w:val="00062558"/>
    <w:rsid w:val="00064A02"/>
    <w:rsid w:val="00064D50"/>
    <w:rsid w:val="000666DB"/>
    <w:rsid w:val="00066FF1"/>
    <w:rsid w:val="0007022D"/>
    <w:rsid w:val="000725C1"/>
    <w:rsid w:val="00072F94"/>
    <w:rsid w:val="000731CA"/>
    <w:rsid w:val="000753E3"/>
    <w:rsid w:val="000761BE"/>
    <w:rsid w:val="00081709"/>
    <w:rsid w:val="0008192C"/>
    <w:rsid w:val="00083721"/>
    <w:rsid w:val="00083E0D"/>
    <w:rsid w:val="0008411E"/>
    <w:rsid w:val="000855A2"/>
    <w:rsid w:val="000873A2"/>
    <w:rsid w:val="000878DA"/>
    <w:rsid w:val="00090E00"/>
    <w:rsid w:val="00090F44"/>
    <w:rsid w:val="0009159C"/>
    <w:rsid w:val="0009569E"/>
    <w:rsid w:val="00096041"/>
    <w:rsid w:val="000969F0"/>
    <w:rsid w:val="00096D98"/>
    <w:rsid w:val="000A1AF4"/>
    <w:rsid w:val="000A3217"/>
    <w:rsid w:val="000A3EBF"/>
    <w:rsid w:val="000A4D34"/>
    <w:rsid w:val="000A5705"/>
    <w:rsid w:val="000A6FC8"/>
    <w:rsid w:val="000B3933"/>
    <w:rsid w:val="000B5A6C"/>
    <w:rsid w:val="000B6F48"/>
    <w:rsid w:val="000B750A"/>
    <w:rsid w:val="000B7881"/>
    <w:rsid w:val="000B7B58"/>
    <w:rsid w:val="000C0F4C"/>
    <w:rsid w:val="000C1C01"/>
    <w:rsid w:val="000C2E3D"/>
    <w:rsid w:val="000C3E78"/>
    <w:rsid w:val="000C421D"/>
    <w:rsid w:val="000C6869"/>
    <w:rsid w:val="000C7C71"/>
    <w:rsid w:val="000C7CB4"/>
    <w:rsid w:val="000D070E"/>
    <w:rsid w:val="000D2061"/>
    <w:rsid w:val="000D3AD6"/>
    <w:rsid w:val="000D50AC"/>
    <w:rsid w:val="000D53B4"/>
    <w:rsid w:val="000D64C3"/>
    <w:rsid w:val="000D67AE"/>
    <w:rsid w:val="000D681C"/>
    <w:rsid w:val="000D6888"/>
    <w:rsid w:val="000D7D1F"/>
    <w:rsid w:val="000E3EF1"/>
    <w:rsid w:val="000E4BCC"/>
    <w:rsid w:val="000E62B8"/>
    <w:rsid w:val="000E7CA4"/>
    <w:rsid w:val="000F0A6E"/>
    <w:rsid w:val="000F1DA2"/>
    <w:rsid w:val="000F41EC"/>
    <w:rsid w:val="000F594C"/>
    <w:rsid w:val="00100274"/>
    <w:rsid w:val="00102217"/>
    <w:rsid w:val="0010276A"/>
    <w:rsid w:val="001030A7"/>
    <w:rsid w:val="001035DC"/>
    <w:rsid w:val="00104C7F"/>
    <w:rsid w:val="00105947"/>
    <w:rsid w:val="0011156E"/>
    <w:rsid w:val="00111C54"/>
    <w:rsid w:val="00111CBD"/>
    <w:rsid w:val="00112081"/>
    <w:rsid w:val="001134D6"/>
    <w:rsid w:val="00113614"/>
    <w:rsid w:val="00113779"/>
    <w:rsid w:val="00113BD2"/>
    <w:rsid w:val="0011445C"/>
    <w:rsid w:val="00114FB5"/>
    <w:rsid w:val="001157C7"/>
    <w:rsid w:val="001160F4"/>
    <w:rsid w:val="00117E7B"/>
    <w:rsid w:val="00120CBD"/>
    <w:rsid w:val="0012248A"/>
    <w:rsid w:val="001256CA"/>
    <w:rsid w:val="001265EB"/>
    <w:rsid w:val="00127777"/>
    <w:rsid w:val="00131414"/>
    <w:rsid w:val="001315D6"/>
    <w:rsid w:val="00131B84"/>
    <w:rsid w:val="0013435D"/>
    <w:rsid w:val="00135D38"/>
    <w:rsid w:val="001366C5"/>
    <w:rsid w:val="00136A9D"/>
    <w:rsid w:val="0014038A"/>
    <w:rsid w:val="00140E49"/>
    <w:rsid w:val="00141638"/>
    <w:rsid w:val="00141C73"/>
    <w:rsid w:val="00142123"/>
    <w:rsid w:val="00142771"/>
    <w:rsid w:val="00142DED"/>
    <w:rsid w:val="00142E80"/>
    <w:rsid w:val="00142EF7"/>
    <w:rsid w:val="00144402"/>
    <w:rsid w:val="00145957"/>
    <w:rsid w:val="00152220"/>
    <w:rsid w:val="00153E9C"/>
    <w:rsid w:val="0015544E"/>
    <w:rsid w:val="00156830"/>
    <w:rsid w:val="00160500"/>
    <w:rsid w:val="00160E2A"/>
    <w:rsid w:val="00161A51"/>
    <w:rsid w:val="00162A46"/>
    <w:rsid w:val="00163355"/>
    <w:rsid w:val="00163868"/>
    <w:rsid w:val="00163A3C"/>
    <w:rsid w:val="00165ABF"/>
    <w:rsid w:val="00166700"/>
    <w:rsid w:val="00166EBB"/>
    <w:rsid w:val="00171A64"/>
    <w:rsid w:val="001729E1"/>
    <w:rsid w:val="00173068"/>
    <w:rsid w:val="001733D3"/>
    <w:rsid w:val="001775BD"/>
    <w:rsid w:val="001804FE"/>
    <w:rsid w:val="0018058B"/>
    <w:rsid w:val="00181323"/>
    <w:rsid w:val="00181CE3"/>
    <w:rsid w:val="00183434"/>
    <w:rsid w:val="00184993"/>
    <w:rsid w:val="001849CD"/>
    <w:rsid w:val="001851EB"/>
    <w:rsid w:val="00186448"/>
    <w:rsid w:val="00187E28"/>
    <w:rsid w:val="001918BC"/>
    <w:rsid w:val="00194A0F"/>
    <w:rsid w:val="00194D47"/>
    <w:rsid w:val="00195BB1"/>
    <w:rsid w:val="00195E36"/>
    <w:rsid w:val="00196590"/>
    <w:rsid w:val="001971BC"/>
    <w:rsid w:val="001A49BC"/>
    <w:rsid w:val="001A5347"/>
    <w:rsid w:val="001B0111"/>
    <w:rsid w:val="001B0306"/>
    <w:rsid w:val="001B2225"/>
    <w:rsid w:val="001B2C42"/>
    <w:rsid w:val="001B30D9"/>
    <w:rsid w:val="001B384E"/>
    <w:rsid w:val="001B4128"/>
    <w:rsid w:val="001B4E83"/>
    <w:rsid w:val="001B6277"/>
    <w:rsid w:val="001B65FD"/>
    <w:rsid w:val="001B7B70"/>
    <w:rsid w:val="001B7CAB"/>
    <w:rsid w:val="001C0216"/>
    <w:rsid w:val="001C1A63"/>
    <w:rsid w:val="001C1F1B"/>
    <w:rsid w:val="001C291A"/>
    <w:rsid w:val="001C42FF"/>
    <w:rsid w:val="001C57EE"/>
    <w:rsid w:val="001C6D55"/>
    <w:rsid w:val="001D0051"/>
    <w:rsid w:val="001D17D8"/>
    <w:rsid w:val="001D1979"/>
    <w:rsid w:val="001D2917"/>
    <w:rsid w:val="001D4E62"/>
    <w:rsid w:val="001D5229"/>
    <w:rsid w:val="001D64E0"/>
    <w:rsid w:val="001D7A50"/>
    <w:rsid w:val="001D7C8B"/>
    <w:rsid w:val="001E5777"/>
    <w:rsid w:val="001E5F9A"/>
    <w:rsid w:val="001E6CD8"/>
    <w:rsid w:val="001E6F5C"/>
    <w:rsid w:val="001F0B93"/>
    <w:rsid w:val="001F0DAC"/>
    <w:rsid w:val="001F1631"/>
    <w:rsid w:val="001F1983"/>
    <w:rsid w:val="001F2582"/>
    <w:rsid w:val="001F2CB1"/>
    <w:rsid w:val="001F79DC"/>
    <w:rsid w:val="001F7EA9"/>
    <w:rsid w:val="00201624"/>
    <w:rsid w:val="002037CE"/>
    <w:rsid w:val="00203DC1"/>
    <w:rsid w:val="00204782"/>
    <w:rsid w:val="002058C0"/>
    <w:rsid w:val="002059BB"/>
    <w:rsid w:val="00207421"/>
    <w:rsid w:val="002075CC"/>
    <w:rsid w:val="002076F1"/>
    <w:rsid w:val="002078BB"/>
    <w:rsid w:val="00210B0D"/>
    <w:rsid w:val="00210B54"/>
    <w:rsid w:val="002125B5"/>
    <w:rsid w:val="00212E4E"/>
    <w:rsid w:val="00213193"/>
    <w:rsid w:val="00213E50"/>
    <w:rsid w:val="00214024"/>
    <w:rsid w:val="002142E8"/>
    <w:rsid w:val="00214B26"/>
    <w:rsid w:val="00215D9C"/>
    <w:rsid w:val="00217272"/>
    <w:rsid w:val="00217EA5"/>
    <w:rsid w:val="00217FB4"/>
    <w:rsid w:val="00220DE0"/>
    <w:rsid w:val="002222CC"/>
    <w:rsid w:val="00222EC9"/>
    <w:rsid w:val="002235B3"/>
    <w:rsid w:val="00225043"/>
    <w:rsid w:val="00226092"/>
    <w:rsid w:val="002273C4"/>
    <w:rsid w:val="0023169D"/>
    <w:rsid w:val="00232242"/>
    <w:rsid w:val="00232A50"/>
    <w:rsid w:val="0023615A"/>
    <w:rsid w:val="00237F1E"/>
    <w:rsid w:val="0024055E"/>
    <w:rsid w:val="00241C74"/>
    <w:rsid w:val="0024259F"/>
    <w:rsid w:val="00242774"/>
    <w:rsid w:val="0024380C"/>
    <w:rsid w:val="00243B85"/>
    <w:rsid w:val="002543E2"/>
    <w:rsid w:val="002546F1"/>
    <w:rsid w:val="00254957"/>
    <w:rsid w:val="00257F96"/>
    <w:rsid w:val="00260630"/>
    <w:rsid w:val="00260790"/>
    <w:rsid w:val="002636DD"/>
    <w:rsid w:val="0026370B"/>
    <w:rsid w:val="00263A20"/>
    <w:rsid w:val="00265357"/>
    <w:rsid w:val="00266464"/>
    <w:rsid w:val="00267FA9"/>
    <w:rsid w:val="00271745"/>
    <w:rsid w:val="00271FDC"/>
    <w:rsid w:val="0027481B"/>
    <w:rsid w:val="002748DF"/>
    <w:rsid w:val="0027630D"/>
    <w:rsid w:val="00277260"/>
    <w:rsid w:val="00277807"/>
    <w:rsid w:val="00277918"/>
    <w:rsid w:val="00280B94"/>
    <w:rsid w:val="00280CE9"/>
    <w:rsid w:val="00280D62"/>
    <w:rsid w:val="002815ED"/>
    <w:rsid w:val="00281FBD"/>
    <w:rsid w:val="00282C9B"/>
    <w:rsid w:val="0028410F"/>
    <w:rsid w:val="002847FF"/>
    <w:rsid w:val="00284DEF"/>
    <w:rsid w:val="00286901"/>
    <w:rsid w:val="00286B26"/>
    <w:rsid w:val="002874F9"/>
    <w:rsid w:val="00287593"/>
    <w:rsid w:val="00290B68"/>
    <w:rsid w:val="00291844"/>
    <w:rsid w:val="00291D37"/>
    <w:rsid w:val="00291E76"/>
    <w:rsid w:val="002927CA"/>
    <w:rsid w:val="002927EC"/>
    <w:rsid w:val="0029352D"/>
    <w:rsid w:val="0029368B"/>
    <w:rsid w:val="00294014"/>
    <w:rsid w:val="00294778"/>
    <w:rsid w:val="002958C3"/>
    <w:rsid w:val="00295FFA"/>
    <w:rsid w:val="0029707D"/>
    <w:rsid w:val="00297A7D"/>
    <w:rsid w:val="002A120F"/>
    <w:rsid w:val="002A312A"/>
    <w:rsid w:val="002A33B4"/>
    <w:rsid w:val="002A512B"/>
    <w:rsid w:val="002A7B57"/>
    <w:rsid w:val="002B1043"/>
    <w:rsid w:val="002B1495"/>
    <w:rsid w:val="002B2557"/>
    <w:rsid w:val="002B26BB"/>
    <w:rsid w:val="002B2BCC"/>
    <w:rsid w:val="002B3848"/>
    <w:rsid w:val="002B3C31"/>
    <w:rsid w:val="002B5AF4"/>
    <w:rsid w:val="002B608E"/>
    <w:rsid w:val="002B6119"/>
    <w:rsid w:val="002C0F00"/>
    <w:rsid w:val="002C1E5D"/>
    <w:rsid w:val="002C1E60"/>
    <w:rsid w:val="002C3562"/>
    <w:rsid w:val="002C40BF"/>
    <w:rsid w:val="002C4FB8"/>
    <w:rsid w:val="002C5CBA"/>
    <w:rsid w:val="002C6BAE"/>
    <w:rsid w:val="002C6F32"/>
    <w:rsid w:val="002C6F40"/>
    <w:rsid w:val="002C772E"/>
    <w:rsid w:val="002D0DD7"/>
    <w:rsid w:val="002D1CE0"/>
    <w:rsid w:val="002D5252"/>
    <w:rsid w:val="002D5F42"/>
    <w:rsid w:val="002D62E8"/>
    <w:rsid w:val="002D6D14"/>
    <w:rsid w:val="002D71BF"/>
    <w:rsid w:val="002E0CEA"/>
    <w:rsid w:val="002E1A27"/>
    <w:rsid w:val="002E245F"/>
    <w:rsid w:val="002E29C3"/>
    <w:rsid w:val="002E3C0E"/>
    <w:rsid w:val="002E448B"/>
    <w:rsid w:val="002E4696"/>
    <w:rsid w:val="002E4CA5"/>
    <w:rsid w:val="002E5562"/>
    <w:rsid w:val="002E55BE"/>
    <w:rsid w:val="002E58D3"/>
    <w:rsid w:val="002E5C49"/>
    <w:rsid w:val="002E70FB"/>
    <w:rsid w:val="002F46C9"/>
    <w:rsid w:val="002F4BA9"/>
    <w:rsid w:val="002F4C7D"/>
    <w:rsid w:val="002F5629"/>
    <w:rsid w:val="002F6604"/>
    <w:rsid w:val="002F71B1"/>
    <w:rsid w:val="002F7F42"/>
    <w:rsid w:val="003007F7"/>
    <w:rsid w:val="00300DB1"/>
    <w:rsid w:val="00306212"/>
    <w:rsid w:val="003064D9"/>
    <w:rsid w:val="003067EC"/>
    <w:rsid w:val="00306B44"/>
    <w:rsid w:val="003078C8"/>
    <w:rsid w:val="00307C27"/>
    <w:rsid w:val="003133B5"/>
    <w:rsid w:val="00313C8E"/>
    <w:rsid w:val="00313F30"/>
    <w:rsid w:val="00316F4D"/>
    <w:rsid w:val="00317334"/>
    <w:rsid w:val="00317A2E"/>
    <w:rsid w:val="0032060F"/>
    <w:rsid w:val="003247B6"/>
    <w:rsid w:val="00324C5D"/>
    <w:rsid w:val="00326068"/>
    <w:rsid w:val="003311D8"/>
    <w:rsid w:val="00331CAD"/>
    <w:rsid w:val="00332570"/>
    <w:rsid w:val="00333478"/>
    <w:rsid w:val="00333F51"/>
    <w:rsid w:val="00334713"/>
    <w:rsid w:val="003347AC"/>
    <w:rsid w:val="00334DD0"/>
    <w:rsid w:val="00335DA4"/>
    <w:rsid w:val="00336557"/>
    <w:rsid w:val="00337410"/>
    <w:rsid w:val="003375DD"/>
    <w:rsid w:val="003405E5"/>
    <w:rsid w:val="003413EA"/>
    <w:rsid w:val="00343221"/>
    <w:rsid w:val="00347B36"/>
    <w:rsid w:val="003513B2"/>
    <w:rsid w:val="00351D35"/>
    <w:rsid w:val="00352CB6"/>
    <w:rsid w:val="0035587B"/>
    <w:rsid w:val="00361F93"/>
    <w:rsid w:val="003642BC"/>
    <w:rsid w:val="00364546"/>
    <w:rsid w:val="00364957"/>
    <w:rsid w:val="00364C3E"/>
    <w:rsid w:val="00366500"/>
    <w:rsid w:val="003665A4"/>
    <w:rsid w:val="003669BC"/>
    <w:rsid w:val="0037123E"/>
    <w:rsid w:val="0037157D"/>
    <w:rsid w:val="003738C5"/>
    <w:rsid w:val="00374D5C"/>
    <w:rsid w:val="00374D63"/>
    <w:rsid w:val="00375E2F"/>
    <w:rsid w:val="00376774"/>
    <w:rsid w:val="00376B1D"/>
    <w:rsid w:val="00376DE6"/>
    <w:rsid w:val="00377944"/>
    <w:rsid w:val="00377B49"/>
    <w:rsid w:val="0038344A"/>
    <w:rsid w:val="00386A53"/>
    <w:rsid w:val="00390BA3"/>
    <w:rsid w:val="00392D28"/>
    <w:rsid w:val="00392F51"/>
    <w:rsid w:val="0039494B"/>
    <w:rsid w:val="003974F6"/>
    <w:rsid w:val="003A30F1"/>
    <w:rsid w:val="003A5DD7"/>
    <w:rsid w:val="003A6083"/>
    <w:rsid w:val="003B062A"/>
    <w:rsid w:val="003B14A4"/>
    <w:rsid w:val="003B154B"/>
    <w:rsid w:val="003B1D16"/>
    <w:rsid w:val="003B2C17"/>
    <w:rsid w:val="003B3456"/>
    <w:rsid w:val="003B3574"/>
    <w:rsid w:val="003B6011"/>
    <w:rsid w:val="003B7E2F"/>
    <w:rsid w:val="003C0F9E"/>
    <w:rsid w:val="003C1C84"/>
    <w:rsid w:val="003C25BA"/>
    <w:rsid w:val="003C33F6"/>
    <w:rsid w:val="003D34B8"/>
    <w:rsid w:val="003D5CD1"/>
    <w:rsid w:val="003D5F5E"/>
    <w:rsid w:val="003D62D4"/>
    <w:rsid w:val="003D73D7"/>
    <w:rsid w:val="003E15C6"/>
    <w:rsid w:val="003E36FD"/>
    <w:rsid w:val="003E3B4A"/>
    <w:rsid w:val="003E3EEE"/>
    <w:rsid w:val="003E474A"/>
    <w:rsid w:val="003F00EB"/>
    <w:rsid w:val="003F0217"/>
    <w:rsid w:val="003F2150"/>
    <w:rsid w:val="003F3243"/>
    <w:rsid w:val="003F3ADA"/>
    <w:rsid w:val="003F3B1C"/>
    <w:rsid w:val="003F3F5A"/>
    <w:rsid w:val="003F41A1"/>
    <w:rsid w:val="003F675D"/>
    <w:rsid w:val="003F75F0"/>
    <w:rsid w:val="003F7B9D"/>
    <w:rsid w:val="00400BB5"/>
    <w:rsid w:val="0040163D"/>
    <w:rsid w:val="00403597"/>
    <w:rsid w:val="0040375F"/>
    <w:rsid w:val="00405797"/>
    <w:rsid w:val="004060B9"/>
    <w:rsid w:val="004062D2"/>
    <w:rsid w:val="00406B2F"/>
    <w:rsid w:val="00406ECE"/>
    <w:rsid w:val="004071B7"/>
    <w:rsid w:val="004100E5"/>
    <w:rsid w:val="004116C5"/>
    <w:rsid w:val="004122B5"/>
    <w:rsid w:val="004137BA"/>
    <w:rsid w:val="00415978"/>
    <w:rsid w:val="0042012A"/>
    <w:rsid w:val="00421103"/>
    <w:rsid w:val="0042217B"/>
    <w:rsid w:val="004230E3"/>
    <w:rsid w:val="0042366A"/>
    <w:rsid w:val="00423826"/>
    <w:rsid w:val="004243E2"/>
    <w:rsid w:val="004247C4"/>
    <w:rsid w:val="00425AD0"/>
    <w:rsid w:val="00425D4E"/>
    <w:rsid w:val="00425FA9"/>
    <w:rsid w:val="0042679A"/>
    <w:rsid w:val="00427BBC"/>
    <w:rsid w:val="00427F60"/>
    <w:rsid w:val="00432000"/>
    <w:rsid w:val="00434C3E"/>
    <w:rsid w:val="00435DF1"/>
    <w:rsid w:val="00436A94"/>
    <w:rsid w:val="004379FD"/>
    <w:rsid w:val="00437F5F"/>
    <w:rsid w:val="00440510"/>
    <w:rsid w:val="004417E3"/>
    <w:rsid w:val="00441CDF"/>
    <w:rsid w:val="004428A3"/>
    <w:rsid w:val="0044440F"/>
    <w:rsid w:val="00444CDE"/>
    <w:rsid w:val="00446EBD"/>
    <w:rsid w:val="004519D3"/>
    <w:rsid w:val="0045416A"/>
    <w:rsid w:val="0045492B"/>
    <w:rsid w:val="004560BD"/>
    <w:rsid w:val="0045687E"/>
    <w:rsid w:val="00456C08"/>
    <w:rsid w:val="00461C8D"/>
    <w:rsid w:val="004620E0"/>
    <w:rsid w:val="00463069"/>
    <w:rsid w:val="00464C1C"/>
    <w:rsid w:val="00466FDC"/>
    <w:rsid w:val="004677A3"/>
    <w:rsid w:val="0047171E"/>
    <w:rsid w:val="00471A81"/>
    <w:rsid w:val="00472198"/>
    <w:rsid w:val="004749B7"/>
    <w:rsid w:val="00476F38"/>
    <w:rsid w:val="00480F58"/>
    <w:rsid w:val="00481974"/>
    <w:rsid w:val="00481FB9"/>
    <w:rsid w:val="00483849"/>
    <w:rsid w:val="00484B02"/>
    <w:rsid w:val="00485C6C"/>
    <w:rsid w:val="004861D6"/>
    <w:rsid w:val="00486641"/>
    <w:rsid w:val="004877D7"/>
    <w:rsid w:val="004878AC"/>
    <w:rsid w:val="00487CF6"/>
    <w:rsid w:val="00490159"/>
    <w:rsid w:val="00490AF4"/>
    <w:rsid w:val="00491D47"/>
    <w:rsid w:val="00491DDC"/>
    <w:rsid w:val="00493188"/>
    <w:rsid w:val="00493537"/>
    <w:rsid w:val="00493CCE"/>
    <w:rsid w:val="00494DE1"/>
    <w:rsid w:val="00495B73"/>
    <w:rsid w:val="00496C13"/>
    <w:rsid w:val="0049769A"/>
    <w:rsid w:val="00497B31"/>
    <w:rsid w:val="004A01AD"/>
    <w:rsid w:val="004A2434"/>
    <w:rsid w:val="004A26AB"/>
    <w:rsid w:val="004A2F14"/>
    <w:rsid w:val="004A3092"/>
    <w:rsid w:val="004A36B1"/>
    <w:rsid w:val="004A576F"/>
    <w:rsid w:val="004A5949"/>
    <w:rsid w:val="004A619F"/>
    <w:rsid w:val="004B00E8"/>
    <w:rsid w:val="004B2EF9"/>
    <w:rsid w:val="004B361B"/>
    <w:rsid w:val="004B3C6C"/>
    <w:rsid w:val="004B53DC"/>
    <w:rsid w:val="004B6A7F"/>
    <w:rsid w:val="004B6C25"/>
    <w:rsid w:val="004B6DEA"/>
    <w:rsid w:val="004C0964"/>
    <w:rsid w:val="004C1296"/>
    <w:rsid w:val="004C1968"/>
    <w:rsid w:val="004C1ADE"/>
    <w:rsid w:val="004C1ED4"/>
    <w:rsid w:val="004C48BA"/>
    <w:rsid w:val="004C59DF"/>
    <w:rsid w:val="004D0907"/>
    <w:rsid w:val="004D3C61"/>
    <w:rsid w:val="004D4A29"/>
    <w:rsid w:val="004D62E8"/>
    <w:rsid w:val="004E2EBC"/>
    <w:rsid w:val="004E3197"/>
    <w:rsid w:val="004E43E2"/>
    <w:rsid w:val="004E4EF8"/>
    <w:rsid w:val="004E5221"/>
    <w:rsid w:val="004E629B"/>
    <w:rsid w:val="004F11B6"/>
    <w:rsid w:val="004F3DAE"/>
    <w:rsid w:val="004F48CE"/>
    <w:rsid w:val="004F56D7"/>
    <w:rsid w:val="004F56F7"/>
    <w:rsid w:val="004F701A"/>
    <w:rsid w:val="004F74D6"/>
    <w:rsid w:val="00500BC0"/>
    <w:rsid w:val="005015E1"/>
    <w:rsid w:val="00502F89"/>
    <w:rsid w:val="00504259"/>
    <w:rsid w:val="00506AC8"/>
    <w:rsid w:val="00507095"/>
    <w:rsid w:val="0050737E"/>
    <w:rsid w:val="005073B5"/>
    <w:rsid w:val="00507FBF"/>
    <w:rsid w:val="005119D6"/>
    <w:rsid w:val="005134A0"/>
    <w:rsid w:val="0051546C"/>
    <w:rsid w:val="00515EA0"/>
    <w:rsid w:val="0051642E"/>
    <w:rsid w:val="00516F5E"/>
    <w:rsid w:val="00520EDC"/>
    <w:rsid w:val="00521109"/>
    <w:rsid w:val="0052139D"/>
    <w:rsid w:val="0052270B"/>
    <w:rsid w:val="00523548"/>
    <w:rsid w:val="005257A7"/>
    <w:rsid w:val="005260CD"/>
    <w:rsid w:val="00526FC8"/>
    <w:rsid w:val="00531EC5"/>
    <w:rsid w:val="0053243A"/>
    <w:rsid w:val="00532E60"/>
    <w:rsid w:val="00535466"/>
    <w:rsid w:val="0053655C"/>
    <w:rsid w:val="00537542"/>
    <w:rsid w:val="0054021D"/>
    <w:rsid w:val="0054071D"/>
    <w:rsid w:val="00541D3F"/>
    <w:rsid w:val="00542455"/>
    <w:rsid w:val="005429EB"/>
    <w:rsid w:val="00544162"/>
    <w:rsid w:val="00544A9C"/>
    <w:rsid w:val="00545B14"/>
    <w:rsid w:val="00547E04"/>
    <w:rsid w:val="00550D97"/>
    <w:rsid w:val="00554E28"/>
    <w:rsid w:val="00556C11"/>
    <w:rsid w:val="00556F96"/>
    <w:rsid w:val="00557DB7"/>
    <w:rsid w:val="005602DC"/>
    <w:rsid w:val="0056752D"/>
    <w:rsid w:val="005705FE"/>
    <w:rsid w:val="00570CBF"/>
    <w:rsid w:val="00571449"/>
    <w:rsid w:val="00577DE9"/>
    <w:rsid w:val="0058013F"/>
    <w:rsid w:val="005802E4"/>
    <w:rsid w:val="005804DE"/>
    <w:rsid w:val="005819D4"/>
    <w:rsid w:val="00585415"/>
    <w:rsid w:val="00586E78"/>
    <w:rsid w:val="00591DB3"/>
    <w:rsid w:val="00595805"/>
    <w:rsid w:val="005A4024"/>
    <w:rsid w:val="005A4472"/>
    <w:rsid w:val="005A529D"/>
    <w:rsid w:val="005A58A1"/>
    <w:rsid w:val="005A63D4"/>
    <w:rsid w:val="005B1134"/>
    <w:rsid w:val="005B215A"/>
    <w:rsid w:val="005B2D76"/>
    <w:rsid w:val="005B2F31"/>
    <w:rsid w:val="005B3D6B"/>
    <w:rsid w:val="005B4523"/>
    <w:rsid w:val="005B4BD6"/>
    <w:rsid w:val="005C0AD5"/>
    <w:rsid w:val="005C1B03"/>
    <w:rsid w:val="005C2064"/>
    <w:rsid w:val="005C303C"/>
    <w:rsid w:val="005C30E5"/>
    <w:rsid w:val="005C3CD0"/>
    <w:rsid w:val="005C4330"/>
    <w:rsid w:val="005C4F90"/>
    <w:rsid w:val="005C5D6A"/>
    <w:rsid w:val="005C62F7"/>
    <w:rsid w:val="005C6381"/>
    <w:rsid w:val="005C64C4"/>
    <w:rsid w:val="005C6AFF"/>
    <w:rsid w:val="005D0851"/>
    <w:rsid w:val="005D096A"/>
    <w:rsid w:val="005D0A91"/>
    <w:rsid w:val="005D2A60"/>
    <w:rsid w:val="005D56E1"/>
    <w:rsid w:val="005D5E93"/>
    <w:rsid w:val="005D75BA"/>
    <w:rsid w:val="005D7AD2"/>
    <w:rsid w:val="005E1DCF"/>
    <w:rsid w:val="005E1FDA"/>
    <w:rsid w:val="005E3110"/>
    <w:rsid w:val="005E4937"/>
    <w:rsid w:val="005E64F9"/>
    <w:rsid w:val="005E6D56"/>
    <w:rsid w:val="005F0758"/>
    <w:rsid w:val="005F0799"/>
    <w:rsid w:val="005F0E9F"/>
    <w:rsid w:val="005F2717"/>
    <w:rsid w:val="005F2D2A"/>
    <w:rsid w:val="005F3522"/>
    <w:rsid w:val="005F4AC6"/>
    <w:rsid w:val="005F5488"/>
    <w:rsid w:val="005F5927"/>
    <w:rsid w:val="005F5EC5"/>
    <w:rsid w:val="005F614B"/>
    <w:rsid w:val="005F71D9"/>
    <w:rsid w:val="0060011B"/>
    <w:rsid w:val="00601F5E"/>
    <w:rsid w:val="00602FD4"/>
    <w:rsid w:val="0060380C"/>
    <w:rsid w:val="006042AA"/>
    <w:rsid w:val="0060474E"/>
    <w:rsid w:val="006048F7"/>
    <w:rsid w:val="00604B75"/>
    <w:rsid w:val="0060509A"/>
    <w:rsid w:val="006055D0"/>
    <w:rsid w:val="00605B6D"/>
    <w:rsid w:val="006065E0"/>
    <w:rsid w:val="00606D3D"/>
    <w:rsid w:val="006078E5"/>
    <w:rsid w:val="00607A70"/>
    <w:rsid w:val="00612812"/>
    <w:rsid w:val="006176F4"/>
    <w:rsid w:val="006251BD"/>
    <w:rsid w:val="00625AC9"/>
    <w:rsid w:val="00625CAC"/>
    <w:rsid w:val="0063026A"/>
    <w:rsid w:val="006307B1"/>
    <w:rsid w:val="00631D60"/>
    <w:rsid w:val="006364F4"/>
    <w:rsid w:val="00640679"/>
    <w:rsid w:val="006416A4"/>
    <w:rsid w:val="00641C5A"/>
    <w:rsid w:val="00643A6E"/>
    <w:rsid w:val="0064463D"/>
    <w:rsid w:val="006450AB"/>
    <w:rsid w:val="00645325"/>
    <w:rsid w:val="006464D7"/>
    <w:rsid w:val="00646C43"/>
    <w:rsid w:val="00647A22"/>
    <w:rsid w:val="0065059B"/>
    <w:rsid w:val="006548B0"/>
    <w:rsid w:val="00654B0F"/>
    <w:rsid w:val="00654C96"/>
    <w:rsid w:val="0065504B"/>
    <w:rsid w:val="00656690"/>
    <w:rsid w:val="00657128"/>
    <w:rsid w:val="00657C54"/>
    <w:rsid w:val="0066298F"/>
    <w:rsid w:val="00665098"/>
    <w:rsid w:val="0066527C"/>
    <w:rsid w:val="00670F99"/>
    <w:rsid w:val="00671BCA"/>
    <w:rsid w:val="00672B84"/>
    <w:rsid w:val="00672CFF"/>
    <w:rsid w:val="006736A0"/>
    <w:rsid w:val="006741B2"/>
    <w:rsid w:val="00674A6F"/>
    <w:rsid w:val="0067536B"/>
    <w:rsid w:val="00677DAD"/>
    <w:rsid w:val="00680279"/>
    <w:rsid w:val="00681283"/>
    <w:rsid w:val="00681DF9"/>
    <w:rsid w:val="00681F95"/>
    <w:rsid w:val="0068213F"/>
    <w:rsid w:val="00684C55"/>
    <w:rsid w:val="006852E9"/>
    <w:rsid w:val="00685BFE"/>
    <w:rsid w:val="00686D85"/>
    <w:rsid w:val="00687157"/>
    <w:rsid w:val="0069006E"/>
    <w:rsid w:val="00691D17"/>
    <w:rsid w:val="0069263F"/>
    <w:rsid w:val="00697DA1"/>
    <w:rsid w:val="00697F52"/>
    <w:rsid w:val="006A0752"/>
    <w:rsid w:val="006A3CA6"/>
    <w:rsid w:val="006A40BB"/>
    <w:rsid w:val="006A52B8"/>
    <w:rsid w:val="006A5A55"/>
    <w:rsid w:val="006A67E6"/>
    <w:rsid w:val="006A7EF5"/>
    <w:rsid w:val="006B0753"/>
    <w:rsid w:val="006B3211"/>
    <w:rsid w:val="006B403D"/>
    <w:rsid w:val="006B505D"/>
    <w:rsid w:val="006B6468"/>
    <w:rsid w:val="006B7CEA"/>
    <w:rsid w:val="006C070C"/>
    <w:rsid w:val="006C1F2E"/>
    <w:rsid w:val="006C22A0"/>
    <w:rsid w:val="006C2442"/>
    <w:rsid w:val="006C3B4A"/>
    <w:rsid w:val="006C4AE0"/>
    <w:rsid w:val="006C4DCE"/>
    <w:rsid w:val="006C5A14"/>
    <w:rsid w:val="006D047F"/>
    <w:rsid w:val="006D22B9"/>
    <w:rsid w:val="006D32E5"/>
    <w:rsid w:val="006D4829"/>
    <w:rsid w:val="006D4936"/>
    <w:rsid w:val="006D65B0"/>
    <w:rsid w:val="006D67F3"/>
    <w:rsid w:val="006D6805"/>
    <w:rsid w:val="006D6C65"/>
    <w:rsid w:val="006E02E2"/>
    <w:rsid w:val="006E2608"/>
    <w:rsid w:val="006E27ED"/>
    <w:rsid w:val="006E2911"/>
    <w:rsid w:val="006E2A96"/>
    <w:rsid w:val="006E3017"/>
    <w:rsid w:val="006E3590"/>
    <w:rsid w:val="006E5703"/>
    <w:rsid w:val="006F2B69"/>
    <w:rsid w:val="006F3DB1"/>
    <w:rsid w:val="006F4B23"/>
    <w:rsid w:val="006F609E"/>
    <w:rsid w:val="006F6F28"/>
    <w:rsid w:val="006F7289"/>
    <w:rsid w:val="006F7CA2"/>
    <w:rsid w:val="00700BE3"/>
    <w:rsid w:val="00700E75"/>
    <w:rsid w:val="00702338"/>
    <w:rsid w:val="00703106"/>
    <w:rsid w:val="00705E79"/>
    <w:rsid w:val="00705F58"/>
    <w:rsid w:val="00706A38"/>
    <w:rsid w:val="00707B4E"/>
    <w:rsid w:val="00710F7A"/>
    <w:rsid w:val="00712A4E"/>
    <w:rsid w:val="007146D3"/>
    <w:rsid w:val="00716EED"/>
    <w:rsid w:val="00717449"/>
    <w:rsid w:val="00720AFD"/>
    <w:rsid w:val="007219E0"/>
    <w:rsid w:val="00722B12"/>
    <w:rsid w:val="007230BD"/>
    <w:rsid w:val="00724442"/>
    <w:rsid w:val="00725631"/>
    <w:rsid w:val="007271C0"/>
    <w:rsid w:val="00730991"/>
    <w:rsid w:val="00730FAC"/>
    <w:rsid w:val="007347C2"/>
    <w:rsid w:val="00734804"/>
    <w:rsid w:val="0073560E"/>
    <w:rsid w:val="0073608E"/>
    <w:rsid w:val="00736301"/>
    <w:rsid w:val="007365C0"/>
    <w:rsid w:val="00736E0C"/>
    <w:rsid w:val="00737F01"/>
    <w:rsid w:val="00742622"/>
    <w:rsid w:val="00742A9C"/>
    <w:rsid w:val="00744689"/>
    <w:rsid w:val="007460C3"/>
    <w:rsid w:val="00747874"/>
    <w:rsid w:val="007502BF"/>
    <w:rsid w:val="0075030D"/>
    <w:rsid w:val="0075238B"/>
    <w:rsid w:val="00752718"/>
    <w:rsid w:val="00754B93"/>
    <w:rsid w:val="007567B0"/>
    <w:rsid w:val="00757E9D"/>
    <w:rsid w:val="00760827"/>
    <w:rsid w:val="00764C23"/>
    <w:rsid w:val="00764EBA"/>
    <w:rsid w:val="00765D41"/>
    <w:rsid w:val="007673E1"/>
    <w:rsid w:val="00770428"/>
    <w:rsid w:val="00770D08"/>
    <w:rsid w:val="007719FD"/>
    <w:rsid w:val="00773AA6"/>
    <w:rsid w:val="00773EEC"/>
    <w:rsid w:val="00774DEF"/>
    <w:rsid w:val="00775B14"/>
    <w:rsid w:val="00775B26"/>
    <w:rsid w:val="007772D1"/>
    <w:rsid w:val="007823C3"/>
    <w:rsid w:val="00782D09"/>
    <w:rsid w:val="00783C15"/>
    <w:rsid w:val="00783FC1"/>
    <w:rsid w:val="00784A95"/>
    <w:rsid w:val="0078552A"/>
    <w:rsid w:val="0078667C"/>
    <w:rsid w:val="007871EC"/>
    <w:rsid w:val="007925E2"/>
    <w:rsid w:val="00793904"/>
    <w:rsid w:val="007959F5"/>
    <w:rsid w:val="0079672B"/>
    <w:rsid w:val="007975EF"/>
    <w:rsid w:val="00797B89"/>
    <w:rsid w:val="007A2C0D"/>
    <w:rsid w:val="007A5301"/>
    <w:rsid w:val="007A68AA"/>
    <w:rsid w:val="007A6D86"/>
    <w:rsid w:val="007A6DE5"/>
    <w:rsid w:val="007B0126"/>
    <w:rsid w:val="007B08AA"/>
    <w:rsid w:val="007B0C4F"/>
    <w:rsid w:val="007B12AD"/>
    <w:rsid w:val="007B30E5"/>
    <w:rsid w:val="007B3B32"/>
    <w:rsid w:val="007B4447"/>
    <w:rsid w:val="007B5099"/>
    <w:rsid w:val="007B5131"/>
    <w:rsid w:val="007B75CB"/>
    <w:rsid w:val="007C13CF"/>
    <w:rsid w:val="007C16C1"/>
    <w:rsid w:val="007C29E6"/>
    <w:rsid w:val="007C4E53"/>
    <w:rsid w:val="007C521B"/>
    <w:rsid w:val="007C576E"/>
    <w:rsid w:val="007C57CA"/>
    <w:rsid w:val="007C61EB"/>
    <w:rsid w:val="007C6218"/>
    <w:rsid w:val="007C725D"/>
    <w:rsid w:val="007C73B8"/>
    <w:rsid w:val="007D22F7"/>
    <w:rsid w:val="007D26BE"/>
    <w:rsid w:val="007D2FFE"/>
    <w:rsid w:val="007D49C6"/>
    <w:rsid w:val="007D6221"/>
    <w:rsid w:val="007D66E2"/>
    <w:rsid w:val="007D68DB"/>
    <w:rsid w:val="007D6ACB"/>
    <w:rsid w:val="007D7114"/>
    <w:rsid w:val="007E064E"/>
    <w:rsid w:val="007E0B24"/>
    <w:rsid w:val="007E0E93"/>
    <w:rsid w:val="007E0EBE"/>
    <w:rsid w:val="007E390D"/>
    <w:rsid w:val="007E5D90"/>
    <w:rsid w:val="007E5E7A"/>
    <w:rsid w:val="007E63C8"/>
    <w:rsid w:val="007E71C5"/>
    <w:rsid w:val="007F127B"/>
    <w:rsid w:val="007F16C2"/>
    <w:rsid w:val="007F1FA9"/>
    <w:rsid w:val="007F2FCF"/>
    <w:rsid w:val="007F3191"/>
    <w:rsid w:val="007F3B82"/>
    <w:rsid w:val="007F3EFA"/>
    <w:rsid w:val="007F4986"/>
    <w:rsid w:val="007F5BD0"/>
    <w:rsid w:val="007F711E"/>
    <w:rsid w:val="007F7B04"/>
    <w:rsid w:val="008017A5"/>
    <w:rsid w:val="00803A16"/>
    <w:rsid w:val="00803D38"/>
    <w:rsid w:val="00806252"/>
    <w:rsid w:val="0080691E"/>
    <w:rsid w:val="00807DE7"/>
    <w:rsid w:val="00810CC9"/>
    <w:rsid w:val="00810EAD"/>
    <w:rsid w:val="008118A9"/>
    <w:rsid w:val="00812302"/>
    <w:rsid w:val="008149C5"/>
    <w:rsid w:val="00817420"/>
    <w:rsid w:val="008179D8"/>
    <w:rsid w:val="008202C7"/>
    <w:rsid w:val="0082046A"/>
    <w:rsid w:val="0082195E"/>
    <w:rsid w:val="00823DF8"/>
    <w:rsid w:val="0082622E"/>
    <w:rsid w:val="00827505"/>
    <w:rsid w:val="00827DCB"/>
    <w:rsid w:val="00831481"/>
    <w:rsid w:val="00833085"/>
    <w:rsid w:val="0083322D"/>
    <w:rsid w:val="00833598"/>
    <w:rsid w:val="00835B16"/>
    <w:rsid w:val="00836875"/>
    <w:rsid w:val="008369EF"/>
    <w:rsid w:val="00836DC6"/>
    <w:rsid w:val="008370F7"/>
    <w:rsid w:val="00837E3B"/>
    <w:rsid w:val="00837F99"/>
    <w:rsid w:val="00843C3C"/>
    <w:rsid w:val="008450D0"/>
    <w:rsid w:val="00845B6B"/>
    <w:rsid w:val="0084626A"/>
    <w:rsid w:val="008504B7"/>
    <w:rsid w:val="00850A4C"/>
    <w:rsid w:val="00854E07"/>
    <w:rsid w:val="008608E5"/>
    <w:rsid w:val="008608ED"/>
    <w:rsid w:val="008617CD"/>
    <w:rsid w:val="0086423C"/>
    <w:rsid w:val="0087026C"/>
    <w:rsid w:val="00870714"/>
    <w:rsid w:val="00870A09"/>
    <w:rsid w:val="00870EDC"/>
    <w:rsid w:val="008712C7"/>
    <w:rsid w:val="008712D8"/>
    <w:rsid w:val="0087135C"/>
    <w:rsid w:val="0087483D"/>
    <w:rsid w:val="00876552"/>
    <w:rsid w:val="00876DF7"/>
    <w:rsid w:val="008779CC"/>
    <w:rsid w:val="00880F00"/>
    <w:rsid w:val="00881431"/>
    <w:rsid w:val="00882211"/>
    <w:rsid w:val="00883C4D"/>
    <w:rsid w:val="00883CAB"/>
    <w:rsid w:val="008840FD"/>
    <w:rsid w:val="00885FD1"/>
    <w:rsid w:val="00886907"/>
    <w:rsid w:val="00887AE0"/>
    <w:rsid w:val="0089198A"/>
    <w:rsid w:val="00892213"/>
    <w:rsid w:val="00893BA4"/>
    <w:rsid w:val="008949E9"/>
    <w:rsid w:val="00895407"/>
    <w:rsid w:val="008966D8"/>
    <w:rsid w:val="00896ADB"/>
    <w:rsid w:val="008A052C"/>
    <w:rsid w:val="008A10B9"/>
    <w:rsid w:val="008A2099"/>
    <w:rsid w:val="008A323B"/>
    <w:rsid w:val="008A384D"/>
    <w:rsid w:val="008A4071"/>
    <w:rsid w:val="008A5A84"/>
    <w:rsid w:val="008A6299"/>
    <w:rsid w:val="008A63C9"/>
    <w:rsid w:val="008A7DDC"/>
    <w:rsid w:val="008B012D"/>
    <w:rsid w:val="008B02DE"/>
    <w:rsid w:val="008B0A65"/>
    <w:rsid w:val="008B101E"/>
    <w:rsid w:val="008B2430"/>
    <w:rsid w:val="008B26EE"/>
    <w:rsid w:val="008B5FCD"/>
    <w:rsid w:val="008B6894"/>
    <w:rsid w:val="008B7CFA"/>
    <w:rsid w:val="008C33E5"/>
    <w:rsid w:val="008C4956"/>
    <w:rsid w:val="008C750A"/>
    <w:rsid w:val="008D24AD"/>
    <w:rsid w:val="008D2C98"/>
    <w:rsid w:val="008D321D"/>
    <w:rsid w:val="008D4842"/>
    <w:rsid w:val="008D52A5"/>
    <w:rsid w:val="008D6739"/>
    <w:rsid w:val="008D71E9"/>
    <w:rsid w:val="008E0079"/>
    <w:rsid w:val="008E38FA"/>
    <w:rsid w:val="008E3FAA"/>
    <w:rsid w:val="008E403A"/>
    <w:rsid w:val="008E473D"/>
    <w:rsid w:val="008E4C17"/>
    <w:rsid w:val="008E5CD4"/>
    <w:rsid w:val="008E6778"/>
    <w:rsid w:val="008E7EDD"/>
    <w:rsid w:val="008F032F"/>
    <w:rsid w:val="008F193C"/>
    <w:rsid w:val="008F2FB9"/>
    <w:rsid w:val="008F51EA"/>
    <w:rsid w:val="008F69BD"/>
    <w:rsid w:val="008F7318"/>
    <w:rsid w:val="008F7604"/>
    <w:rsid w:val="009003F0"/>
    <w:rsid w:val="00901641"/>
    <w:rsid w:val="00901DBA"/>
    <w:rsid w:val="00901DC6"/>
    <w:rsid w:val="00903016"/>
    <w:rsid w:val="00903BF2"/>
    <w:rsid w:val="00903CE7"/>
    <w:rsid w:val="009058B7"/>
    <w:rsid w:val="00910E93"/>
    <w:rsid w:val="009122BC"/>
    <w:rsid w:val="00912488"/>
    <w:rsid w:val="009136C9"/>
    <w:rsid w:val="0091410F"/>
    <w:rsid w:val="009142FA"/>
    <w:rsid w:val="0091518A"/>
    <w:rsid w:val="00916825"/>
    <w:rsid w:val="009170D7"/>
    <w:rsid w:val="00917378"/>
    <w:rsid w:val="00921F33"/>
    <w:rsid w:val="009221DD"/>
    <w:rsid w:val="00922582"/>
    <w:rsid w:val="0092360F"/>
    <w:rsid w:val="009259DD"/>
    <w:rsid w:val="0093095A"/>
    <w:rsid w:val="009310E4"/>
    <w:rsid w:val="009312DD"/>
    <w:rsid w:val="0093159F"/>
    <w:rsid w:val="00932A03"/>
    <w:rsid w:val="00932B11"/>
    <w:rsid w:val="009333D9"/>
    <w:rsid w:val="00935E7B"/>
    <w:rsid w:val="0093797F"/>
    <w:rsid w:val="00940FB6"/>
    <w:rsid w:val="009410AF"/>
    <w:rsid w:val="00942428"/>
    <w:rsid w:val="009428FB"/>
    <w:rsid w:val="00945004"/>
    <w:rsid w:val="0094670F"/>
    <w:rsid w:val="009475C8"/>
    <w:rsid w:val="00947A0C"/>
    <w:rsid w:val="00947DB8"/>
    <w:rsid w:val="0095013C"/>
    <w:rsid w:val="00950EF0"/>
    <w:rsid w:val="00951752"/>
    <w:rsid w:val="00953A8D"/>
    <w:rsid w:val="00953FDE"/>
    <w:rsid w:val="00956503"/>
    <w:rsid w:val="00957A20"/>
    <w:rsid w:val="00961617"/>
    <w:rsid w:val="0096164D"/>
    <w:rsid w:val="00961ACC"/>
    <w:rsid w:val="00962843"/>
    <w:rsid w:val="00963ADD"/>
    <w:rsid w:val="0096498E"/>
    <w:rsid w:val="00966627"/>
    <w:rsid w:val="00967FE9"/>
    <w:rsid w:val="00971160"/>
    <w:rsid w:val="00972E6F"/>
    <w:rsid w:val="0097309F"/>
    <w:rsid w:val="00973F5E"/>
    <w:rsid w:val="00975F48"/>
    <w:rsid w:val="009779A1"/>
    <w:rsid w:val="009805E3"/>
    <w:rsid w:val="00980FC5"/>
    <w:rsid w:val="00981FE4"/>
    <w:rsid w:val="00982B6F"/>
    <w:rsid w:val="00983803"/>
    <w:rsid w:val="0098554D"/>
    <w:rsid w:val="00986856"/>
    <w:rsid w:val="00986E10"/>
    <w:rsid w:val="00990457"/>
    <w:rsid w:val="00990929"/>
    <w:rsid w:val="00990DCB"/>
    <w:rsid w:val="00992B9E"/>
    <w:rsid w:val="009939A2"/>
    <w:rsid w:val="0099665C"/>
    <w:rsid w:val="009A0373"/>
    <w:rsid w:val="009A148C"/>
    <w:rsid w:val="009A28C3"/>
    <w:rsid w:val="009A4CCE"/>
    <w:rsid w:val="009A640F"/>
    <w:rsid w:val="009A6F7D"/>
    <w:rsid w:val="009B2393"/>
    <w:rsid w:val="009B3589"/>
    <w:rsid w:val="009B4476"/>
    <w:rsid w:val="009B6D87"/>
    <w:rsid w:val="009B74E7"/>
    <w:rsid w:val="009C0330"/>
    <w:rsid w:val="009C06FD"/>
    <w:rsid w:val="009C1FF1"/>
    <w:rsid w:val="009C3BF9"/>
    <w:rsid w:val="009C434F"/>
    <w:rsid w:val="009C4859"/>
    <w:rsid w:val="009C7F61"/>
    <w:rsid w:val="009D0D06"/>
    <w:rsid w:val="009D26B3"/>
    <w:rsid w:val="009D2873"/>
    <w:rsid w:val="009D4922"/>
    <w:rsid w:val="009D5F2E"/>
    <w:rsid w:val="009D68CB"/>
    <w:rsid w:val="009D702E"/>
    <w:rsid w:val="009D7A13"/>
    <w:rsid w:val="009E1272"/>
    <w:rsid w:val="009E346D"/>
    <w:rsid w:val="009E4CF0"/>
    <w:rsid w:val="009E78FC"/>
    <w:rsid w:val="009F0239"/>
    <w:rsid w:val="009F46CD"/>
    <w:rsid w:val="009F5A14"/>
    <w:rsid w:val="009F5FA1"/>
    <w:rsid w:val="009F6C4C"/>
    <w:rsid w:val="00A00184"/>
    <w:rsid w:val="00A00D3C"/>
    <w:rsid w:val="00A010FC"/>
    <w:rsid w:val="00A04512"/>
    <w:rsid w:val="00A047F2"/>
    <w:rsid w:val="00A049C1"/>
    <w:rsid w:val="00A054E8"/>
    <w:rsid w:val="00A0585C"/>
    <w:rsid w:val="00A05A00"/>
    <w:rsid w:val="00A05FD0"/>
    <w:rsid w:val="00A0687E"/>
    <w:rsid w:val="00A06FBC"/>
    <w:rsid w:val="00A11669"/>
    <w:rsid w:val="00A12024"/>
    <w:rsid w:val="00A1254B"/>
    <w:rsid w:val="00A12817"/>
    <w:rsid w:val="00A12B2A"/>
    <w:rsid w:val="00A17491"/>
    <w:rsid w:val="00A17F3E"/>
    <w:rsid w:val="00A21D88"/>
    <w:rsid w:val="00A230F3"/>
    <w:rsid w:val="00A24370"/>
    <w:rsid w:val="00A24CC7"/>
    <w:rsid w:val="00A25C6E"/>
    <w:rsid w:val="00A26DFC"/>
    <w:rsid w:val="00A27780"/>
    <w:rsid w:val="00A31A40"/>
    <w:rsid w:val="00A32617"/>
    <w:rsid w:val="00A336E3"/>
    <w:rsid w:val="00A34584"/>
    <w:rsid w:val="00A351F1"/>
    <w:rsid w:val="00A35874"/>
    <w:rsid w:val="00A36435"/>
    <w:rsid w:val="00A36DB1"/>
    <w:rsid w:val="00A41F65"/>
    <w:rsid w:val="00A433CC"/>
    <w:rsid w:val="00A447B8"/>
    <w:rsid w:val="00A4559F"/>
    <w:rsid w:val="00A4583A"/>
    <w:rsid w:val="00A503E4"/>
    <w:rsid w:val="00A5108E"/>
    <w:rsid w:val="00A51829"/>
    <w:rsid w:val="00A5267D"/>
    <w:rsid w:val="00A527CB"/>
    <w:rsid w:val="00A546DC"/>
    <w:rsid w:val="00A56195"/>
    <w:rsid w:val="00A5688A"/>
    <w:rsid w:val="00A56E25"/>
    <w:rsid w:val="00A5726B"/>
    <w:rsid w:val="00A574F0"/>
    <w:rsid w:val="00A57AE6"/>
    <w:rsid w:val="00A63EB8"/>
    <w:rsid w:val="00A65340"/>
    <w:rsid w:val="00A653DF"/>
    <w:rsid w:val="00A65A50"/>
    <w:rsid w:val="00A66003"/>
    <w:rsid w:val="00A66D97"/>
    <w:rsid w:val="00A7064D"/>
    <w:rsid w:val="00A71AAF"/>
    <w:rsid w:val="00A71DF3"/>
    <w:rsid w:val="00A7359C"/>
    <w:rsid w:val="00A747BD"/>
    <w:rsid w:val="00A75315"/>
    <w:rsid w:val="00A75D8E"/>
    <w:rsid w:val="00A761ED"/>
    <w:rsid w:val="00A76BA0"/>
    <w:rsid w:val="00A81AE5"/>
    <w:rsid w:val="00A81CD1"/>
    <w:rsid w:val="00A82B60"/>
    <w:rsid w:val="00A842E2"/>
    <w:rsid w:val="00A84703"/>
    <w:rsid w:val="00A85AC5"/>
    <w:rsid w:val="00A8607A"/>
    <w:rsid w:val="00A9018D"/>
    <w:rsid w:val="00A917ED"/>
    <w:rsid w:val="00A9271A"/>
    <w:rsid w:val="00A927CF"/>
    <w:rsid w:val="00A933DA"/>
    <w:rsid w:val="00A93DF4"/>
    <w:rsid w:val="00A9415A"/>
    <w:rsid w:val="00A97797"/>
    <w:rsid w:val="00A97AB3"/>
    <w:rsid w:val="00AA19D9"/>
    <w:rsid w:val="00AA1D5D"/>
    <w:rsid w:val="00AA25FA"/>
    <w:rsid w:val="00AA39E6"/>
    <w:rsid w:val="00AA5E62"/>
    <w:rsid w:val="00AB026C"/>
    <w:rsid w:val="00AB02B0"/>
    <w:rsid w:val="00AB0AEC"/>
    <w:rsid w:val="00AB1237"/>
    <w:rsid w:val="00AB2FC8"/>
    <w:rsid w:val="00AB34B7"/>
    <w:rsid w:val="00AB4F9A"/>
    <w:rsid w:val="00AB593F"/>
    <w:rsid w:val="00AB76C2"/>
    <w:rsid w:val="00AB7BBF"/>
    <w:rsid w:val="00AC0DF7"/>
    <w:rsid w:val="00AC150C"/>
    <w:rsid w:val="00AC34B8"/>
    <w:rsid w:val="00AC3F32"/>
    <w:rsid w:val="00AC594E"/>
    <w:rsid w:val="00AC6045"/>
    <w:rsid w:val="00AC63A5"/>
    <w:rsid w:val="00AC7B83"/>
    <w:rsid w:val="00AC7BE6"/>
    <w:rsid w:val="00AD22D5"/>
    <w:rsid w:val="00AD3365"/>
    <w:rsid w:val="00AD4A58"/>
    <w:rsid w:val="00AD76ED"/>
    <w:rsid w:val="00AE1A1B"/>
    <w:rsid w:val="00AE4DAC"/>
    <w:rsid w:val="00AE5A6B"/>
    <w:rsid w:val="00AE5E00"/>
    <w:rsid w:val="00AE6F45"/>
    <w:rsid w:val="00AE7B3E"/>
    <w:rsid w:val="00AF09F0"/>
    <w:rsid w:val="00AF2ECC"/>
    <w:rsid w:val="00AF42F6"/>
    <w:rsid w:val="00AF5E8A"/>
    <w:rsid w:val="00AF6234"/>
    <w:rsid w:val="00AF6BAD"/>
    <w:rsid w:val="00B0013D"/>
    <w:rsid w:val="00B01997"/>
    <w:rsid w:val="00B02A98"/>
    <w:rsid w:val="00B031F6"/>
    <w:rsid w:val="00B06174"/>
    <w:rsid w:val="00B06252"/>
    <w:rsid w:val="00B07F0C"/>
    <w:rsid w:val="00B106DA"/>
    <w:rsid w:val="00B12293"/>
    <w:rsid w:val="00B1311F"/>
    <w:rsid w:val="00B13D5D"/>
    <w:rsid w:val="00B1458E"/>
    <w:rsid w:val="00B14C4E"/>
    <w:rsid w:val="00B16DD4"/>
    <w:rsid w:val="00B17AE2"/>
    <w:rsid w:val="00B2036E"/>
    <w:rsid w:val="00B20678"/>
    <w:rsid w:val="00B21A9E"/>
    <w:rsid w:val="00B21C30"/>
    <w:rsid w:val="00B21F99"/>
    <w:rsid w:val="00B22DAF"/>
    <w:rsid w:val="00B22E3B"/>
    <w:rsid w:val="00B22E8E"/>
    <w:rsid w:val="00B23273"/>
    <w:rsid w:val="00B23700"/>
    <w:rsid w:val="00B2551C"/>
    <w:rsid w:val="00B259AD"/>
    <w:rsid w:val="00B26A9C"/>
    <w:rsid w:val="00B274AB"/>
    <w:rsid w:val="00B30515"/>
    <w:rsid w:val="00B31087"/>
    <w:rsid w:val="00B31BE3"/>
    <w:rsid w:val="00B32514"/>
    <w:rsid w:val="00B32E3E"/>
    <w:rsid w:val="00B3628E"/>
    <w:rsid w:val="00B36AC8"/>
    <w:rsid w:val="00B40F54"/>
    <w:rsid w:val="00B4215B"/>
    <w:rsid w:val="00B425CD"/>
    <w:rsid w:val="00B44FD8"/>
    <w:rsid w:val="00B458A5"/>
    <w:rsid w:val="00B47621"/>
    <w:rsid w:val="00B502F9"/>
    <w:rsid w:val="00B50ACD"/>
    <w:rsid w:val="00B50BA8"/>
    <w:rsid w:val="00B52487"/>
    <w:rsid w:val="00B53289"/>
    <w:rsid w:val="00B54725"/>
    <w:rsid w:val="00B559E6"/>
    <w:rsid w:val="00B57985"/>
    <w:rsid w:val="00B61002"/>
    <w:rsid w:val="00B63D87"/>
    <w:rsid w:val="00B65110"/>
    <w:rsid w:val="00B6555C"/>
    <w:rsid w:val="00B66DBD"/>
    <w:rsid w:val="00B66F43"/>
    <w:rsid w:val="00B679EB"/>
    <w:rsid w:val="00B716DF"/>
    <w:rsid w:val="00B72D1A"/>
    <w:rsid w:val="00B73F2B"/>
    <w:rsid w:val="00B73FE9"/>
    <w:rsid w:val="00B75EB1"/>
    <w:rsid w:val="00B76ED6"/>
    <w:rsid w:val="00B823EE"/>
    <w:rsid w:val="00B837BB"/>
    <w:rsid w:val="00B85561"/>
    <w:rsid w:val="00B85F8E"/>
    <w:rsid w:val="00B86F53"/>
    <w:rsid w:val="00B90CD7"/>
    <w:rsid w:val="00B955EE"/>
    <w:rsid w:val="00B95871"/>
    <w:rsid w:val="00B96892"/>
    <w:rsid w:val="00B96A59"/>
    <w:rsid w:val="00B973E2"/>
    <w:rsid w:val="00B97671"/>
    <w:rsid w:val="00BA2F37"/>
    <w:rsid w:val="00BA47DA"/>
    <w:rsid w:val="00BA6873"/>
    <w:rsid w:val="00BA6FC2"/>
    <w:rsid w:val="00BA7B15"/>
    <w:rsid w:val="00BA7D3C"/>
    <w:rsid w:val="00BB1919"/>
    <w:rsid w:val="00BB2959"/>
    <w:rsid w:val="00BB4EC3"/>
    <w:rsid w:val="00BC1DBD"/>
    <w:rsid w:val="00BC20B9"/>
    <w:rsid w:val="00BC21E5"/>
    <w:rsid w:val="00BC294A"/>
    <w:rsid w:val="00BC40E9"/>
    <w:rsid w:val="00BC40F2"/>
    <w:rsid w:val="00BC4F44"/>
    <w:rsid w:val="00BC74E8"/>
    <w:rsid w:val="00BD24B6"/>
    <w:rsid w:val="00BD43BE"/>
    <w:rsid w:val="00BD4F4E"/>
    <w:rsid w:val="00BD577D"/>
    <w:rsid w:val="00BD6E55"/>
    <w:rsid w:val="00BD7171"/>
    <w:rsid w:val="00BE2F60"/>
    <w:rsid w:val="00BE328E"/>
    <w:rsid w:val="00BE34C5"/>
    <w:rsid w:val="00BE58D0"/>
    <w:rsid w:val="00BE79E4"/>
    <w:rsid w:val="00BF2147"/>
    <w:rsid w:val="00BF43C1"/>
    <w:rsid w:val="00BF5ABC"/>
    <w:rsid w:val="00BF5C3B"/>
    <w:rsid w:val="00C00538"/>
    <w:rsid w:val="00C00F31"/>
    <w:rsid w:val="00C011BC"/>
    <w:rsid w:val="00C028F2"/>
    <w:rsid w:val="00C03FBE"/>
    <w:rsid w:val="00C04051"/>
    <w:rsid w:val="00C06782"/>
    <w:rsid w:val="00C06B11"/>
    <w:rsid w:val="00C06E51"/>
    <w:rsid w:val="00C072DD"/>
    <w:rsid w:val="00C11028"/>
    <w:rsid w:val="00C12551"/>
    <w:rsid w:val="00C12C6C"/>
    <w:rsid w:val="00C12E8D"/>
    <w:rsid w:val="00C13235"/>
    <w:rsid w:val="00C16147"/>
    <w:rsid w:val="00C16375"/>
    <w:rsid w:val="00C17FCD"/>
    <w:rsid w:val="00C203BA"/>
    <w:rsid w:val="00C20525"/>
    <w:rsid w:val="00C20E32"/>
    <w:rsid w:val="00C21650"/>
    <w:rsid w:val="00C223C5"/>
    <w:rsid w:val="00C22526"/>
    <w:rsid w:val="00C251E3"/>
    <w:rsid w:val="00C30E38"/>
    <w:rsid w:val="00C31D12"/>
    <w:rsid w:val="00C32B34"/>
    <w:rsid w:val="00C32D1F"/>
    <w:rsid w:val="00C342FF"/>
    <w:rsid w:val="00C343BA"/>
    <w:rsid w:val="00C34B5B"/>
    <w:rsid w:val="00C355C3"/>
    <w:rsid w:val="00C35CA2"/>
    <w:rsid w:val="00C36302"/>
    <w:rsid w:val="00C36D6D"/>
    <w:rsid w:val="00C3726F"/>
    <w:rsid w:val="00C3772F"/>
    <w:rsid w:val="00C41FF8"/>
    <w:rsid w:val="00C50D06"/>
    <w:rsid w:val="00C516C4"/>
    <w:rsid w:val="00C5770F"/>
    <w:rsid w:val="00C604FB"/>
    <w:rsid w:val="00C60CF8"/>
    <w:rsid w:val="00C61722"/>
    <w:rsid w:val="00C61EE9"/>
    <w:rsid w:val="00C620C2"/>
    <w:rsid w:val="00C62942"/>
    <w:rsid w:val="00C65C0E"/>
    <w:rsid w:val="00C66377"/>
    <w:rsid w:val="00C67A2F"/>
    <w:rsid w:val="00C7056D"/>
    <w:rsid w:val="00C71403"/>
    <w:rsid w:val="00C716C0"/>
    <w:rsid w:val="00C72B00"/>
    <w:rsid w:val="00C736E8"/>
    <w:rsid w:val="00C74A06"/>
    <w:rsid w:val="00C75C09"/>
    <w:rsid w:val="00C76481"/>
    <w:rsid w:val="00C768FA"/>
    <w:rsid w:val="00C76DDD"/>
    <w:rsid w:val="00C76DDE"/>
    <w:rsid w:val="00C806C0"/>
    <w:rsid w:val="00C82AAC"/>
    <w:rsid w:val="00C82B72"/>
    <w:rsid w:val="00C8461C"/>
    <w:rsid w:val="00C84C3B"/>
    <w:rsid w:val="00C87027"/>
    <w:rsid w:val="00C87927"/>
    <w:rsid w:val="00C87BA2"/>
    <w:rsid w:val="00C912C4"/>
    <w:rsid w:val="00C916A0"/>
    <w:rsid w:val="00C93F0F"/>
    <w:rsid w:val="00C94292"/>
    <w:rsid w:val="00C949BB"/>
    <w:rsid w:val="00C963C0"/>
    <w:rsid w:val="00C96495"/>
    <w:rsid w:val="00C97640"/>
    <w:rsid w:val="00CA0C19"/>
    <w:rsid w:val="00CA0FA2"/>
    <w:rsid w:val="00CA2872"/>
    <w:rsid w:val="00CA2CFC"/>
    <w:rsid w:val="00CA37D5"/>
    <w:rsid w:val="00CA5189"/>
    <w:rsid w:val="00CA547D"/>
    <w:rsid w:val="00CA5F83"/>
    <w:rsid w:val="00CB13AE"/>
    <w:rsid w:val="00CB14C4"/>
    <w:rsid w:val="00CB2D16"/>
    <w:rsid w:val="00CB49EC"/>
    <w:rsid w:val="00CB52D6"/>
    <w:rsid w:val="00CB76D5"/>
    <w:rsid w:val="00CC094A"/>
    <w:rsid w:val="00CC0F6A"/>
    <w:rsid w:val="00CC3087"/>
    <w:rsid w:val="00CC3561"/>
    <w:rsid w:val="00CC3617"/>
    <w:rsid w:val="00CC3739"/>
    <w:rsid w:val="00CC5682"/>
    <w:rsid w:val="00CC7E5B"/>
    <w:rsid w:val="00CD2272"/>
    <w:rsid w:val="00CD46CD"/>
    <w:rsid w:val="00CD73A8"/>
    <w:rsid w:val="00CE0318"/>
    <w:rsid w:val="00CE0395"/>
    <w:rsid w:val="00CE19D2"/>
    <w:rsid w:val="00CE1D98"/>
    <w:rsid w:val="00CE5746"/>
    <w:rsid w:val="00CE5A1A"/>
    <w:rsid w:val="00CE5B81"/>
    <w:rsid w:val="00CE627D"/>
    <w:rsid w:val="00CE6AFD"/>
    <w:rsid w:val="00CF1425"/>
    <w:rsid w:val="00CF220E"/>
    <w:rsid w:val="00CF43EA"/>
    <w:rsid w:val="00CF7474"/>
    <w:rsid w:val="00CF796C"/>
    <w:rsid w:val="00D0100C"/>
    <w:rsid w:val="00D01EFB"/>
    <w:rsid w:val="00D0437D"/>
    <w:rsid w:val="00D045B6"/>
    <w:rsid w:val="00D04E76"/>
    <w:rsid w:val="00D06802"/>
    <w:rsid w:val="00D0700F"/>
    <w:rsid w:val="00D10BBB"/>
    <w:rsid w:val="00D14B09"/>
    <w:rsid w:val="00D14ED5"/>
    <w:rsid w:val="00D14F8D"/>
    <w:rsid w:val="00D206ED"/>
    <w:rsid w:val="00D21706"/>
    <w:rsid w:val="00D22367"/>
    <w:rsid w:val="00D2249F"/>
    <w:rsid w:val="00D236EA"/>
    <w:rsid w:val="00D24307"/>
    <w:rsid w:val="00D250FB"/>
    <w:rsid w:val="00D25153"/>
    <w:rsid w:val="00D26242"/>
    <w:rsid w:val="00D26BB5"/>
    <w:rsid w:val="00D30F09"/>
    <w:rsid w:val="00D32451"/>
    <w:rsid w:val="00D3290C"/>
    <w:rsid w:val="00D33C7F"/>
    <w:rsid w:val="00D35945"/>
    <w:rsid w:val="00D40AE8"/>
    <w:rsid w:val="00D417A8"/>
    <w:rsid w:val="00D43DD3"/>
    <w:rsid w:val="00D52811"/>
    <w:rsid w:val="00D52AC1"/>
    <w:rsid w:val="00D52F74"/>
    <w:rsid w:val="00D55951"/>
    <w:rsid w:val="00D5689F"/>
    <w:rsid w:val="00D60715"/>
    <w:rsid w:val="00D60881"/>
    <w:rsid w:val="00D61ECC"/>
    <w:rsid w:val="00D62ECD"/>
    <w:rsid w:val="00D6347D"/>
    <w:rsid w:val="00D66CF5"/>
    <w:rsid w:val="00D676D7"/>
    <w:rsid w:val="00D708E0"/>
    <w:rsid w:val="00D71705"/>
    <w:rsid w:val="00D734C1"/>
    <w:rsid w:val="00D74C28"/>
    <w:rsid w:val="00D7648C"/>
    <w:rsid w:val="00D80FAD"/>
    <w:rsid w:val="00D8262A"/>
    <w:rsid w:val="00D82CBE"/>
    <w:rsid w:val="00D84DAA"/>
    <w:rsid w:val="00D85B6E"/>
    <w:rsid w:val="00D85DB9"/>
    <w:rsid w:val="00D85F4A"/>
    <w:rsid w:val="00D87011"/>
    <w:rsid w:val="00D871B7"/>
    <w:rsid w:val="00D87D63"/>
    <w:rsid w:val="00D90D3F"/>
    <w:rsid w:val="00D91D1C"/>
    <w:rsid w:val="00D923A7"/>
    <w:rsid w:val="00D93EF0"/>
    <w:rsid w:val="00D941C6"/>
    <w:rsid w:val="00D947BF"/>
    <w:rsid w:val="00D94900"/>
    <w:rsid w:val="00D97777"/>
    <w:rsid w:val="00DA0A25"/>
    <w:rsid w:val="00DA0D25"/>
    <w:rsid w:val="00DA1713"/>
    <w:rsid w:val="00DA3BA5"/>
    <w:rsid w:val="00DA4E16"/>
    <w:rsid w:val="00DA53CB"/>
    <w:rsid w:val="00DA787F"/>
    <w:rsid w:val="00DB1378"/>
    <w:rsid w:val="00DB212D"/>
    <w:rsid w:val="00DB3C07"/>
    <w:rsid w:val="00DB4F09"/>
    <w:rsid w:val="00DB6633"/>
    <w:rsid w:val="00DB723F"/>
    <w:rsid w:val="00DC10B3"/>
    <w:rsid w:val="00DC28DC"/>
    <w:rsid w:val="00DC362C"/>
    <w:rsid w:val="00DC3ACC"/>
    <w:rsid w:val="00DC50DE"/>
    <w:rsid w:val="00DC687C"/>
    <w:rsid w:val="00DD02D6"/>
    <w:rsid w:val="00DD0773"/>
    <w:rsid w:val="00DD078F"/>
    <w:rsid w:val="00DD158C"/>
    <w:rsid w:val="00DD16B5"/>
    <w:rsid w:val="00DD2017"/>
    <w:rsid w:val="00DD2C7F"/>
    <w:rsid w:val="00DD2CE0"/>
    <w:rsid w:val="00DD4402"/>
    <w:rsid w:val="00DD678C"/>
    <w:rsid w:val="00DE08B8"/>
    <w:rsid w:val="00DE08EE"/>
    <w:rsid w:val="00DE3F91"/>
    <w:rsid w:val="00DE4159"/>
    <w:rsid w:val="00DE5E7F"/>
    <w:rsid w:val="00DE76D5"/>
    <w:rsid w:val="00DF051A"/>
    <w:rsid w:val="00DF1B12"/>
    <w:rsid w:val="00DF230C"/>
    <w:rsid w:val="00DF2789"/>
    <w:rsid w:val="00DF42CA"/>
    <w:rsid w:val="00DF6177"/>
    <w:rsid w:val="00DF6E9B"/>
    <w:rsid w:val="00E02EAF"/>
    <w:rsid w:val="00E05E62"/>
    <w:rsid w:val="00E074C8"/>
    <w:rsid w:val="00E10A67"/>
    <w:rsid w:val="00E1155F"/>
    <w:rsid w:val="00E13CB6"/>
    <w:rsid w:val="00E15252"/>
    <w:rsid w:val="00E15DE1"/>
    <w:rsid w:val="00E15E80"/>
    <w:rsid w:val="00E211FB"/>
    <w:rsid w:val="00E228F3"/>
    <w:rsid w:val="00E234D1"/>
    <w:rsid w:val="00E2388A"/>
    <w:rsid w:val="00E2443A"/>
    <w:rsid w:val="00E2659A"/>
    <w:rsid w:val="00E27CF4"/>
    <w:rsid w:val="00E27E07"/>
    <w:rsid w:val="00E307B9"/>
    <w:rsid w:val="00E3100C"/>
    <w:rsid w:val="00E31AEA"/>
    <w:rsid w:val="00E33522"/>
    <w:rsid w:val="00E34ABD"/>
    <w:rsid w:val="00E34D3F"/>
    <w:rsid w:val="00E35EFD"/>
    <w:rsid w:val="00E376B0"/>
    <w:rsid w:val="00E4066A"/>
    <w:rsid w:val="00E40FD7"/>
    <w:rsid w:val="00E42F82"/>
    <w:rsid w:val="00E43D72"/>
    <w:rsid w:val="00E4646C"/>
    <w:rsid w:val="00E51426"/>
    <w:rsid w:val="00E5152E"/>
    <w:rsid w:val="00E51F2B"/>
    <w:rsid w:val="00E52D60"/>
    <w:rsid w:val="00E541F9"/>
    <w:rsid w:val="00E54797"/>
    <w:rsid w:val="00E57221"/>
    <w:rsid w:val="00E601CD"/>
    <w:rsid w:val="00E60E6E"/>
    <w:rsid w:val="00E61809"/>
    <w:rsid w:val="00E62908"/>
    <w:rsid w:val="00E63856"/>
    <w:rsid w:val="00E65EE1"/>
    <w:rsid w:val="00E6731B"/>
    <w:rsid w:val="00E675AB"/>
    <w:rsid w:val="00E70176"/>
    <w:rsid w:val="00E71397"/>
    <w:rsid w:val="00E72554"/>
    <w:rsid w:val="00E731B4"/>
    <w:rsid w:val="00E75F1F"/>
    <w:rsid w:val="00E76094"/>
    <w:rsid w:val="00E808B2"/>
    <w:rsid w:val="00E80C54"/>
    <w:rsid w:val="00E81324"/>
    <w:rsid w:val="00E82CDB"/>
    <w:rsid w:val="00E84248"/>
    <w:rsid w:val="00E8468E"/>
    <w:rsid w:val="00E84C57"/>
    <w:rsid w:val="00E90437"/>
    <w:rsid w:val="00E90BF3"/>
    <w:rsid w:val="00E916E8"/>
    <w:rsid w:val="00E926BB"/>
    <w:rsid w:val="00E93BB1"/>
    <w:rsid w:val="00E945A1"/>
    <w:rsid w:val="00E94C09"/>
    <w:rsid w:val="00E94C8A"/>
    <w:rsid w:val="00E94E8C"/>
    <w:rsid w:val="00E95D4F"/>
    <w:rsid w:val="00E96119"/>
    <w:rsid w:val="00E973CF"/>
    <w:rsid w:val="00EA1AA7"/>
    <w:rsid w:val="00EA3632"/>
    <w:rsid w:val="00EA52A7"/>
    <w:rsid w:val="00EA56B6"/>
    <w:rsid w:val="00EA7185"/>
    <w:rsid w:val="00EA7BA7"/>
    <w:rsid w:val="00EA7D81"/>
    <w:rsid w:val="00EB0ADD"/>
    <w:rsid w:val="00EB4A0B"/>
    <w:rsid w:val="00EB500B"/>
    <w:rsid w:val="00EB7316"/>
    <w:rsid w:val="00EB7434"/>
    <w:rsid w:val="00EC202F"/>
    <w:rsid w:val="00EC30D9"/>
    <w:rsid w:val="00EC4FD7"/>
    <w:rsid w:val="00EC50D8"/>
    <w:rsid w:val="00EC51D7"/>
    <w:rsid w:val="00EC5640"/>
    <w:rsid w:val="00EC60F1"/>
    <w:rsid w:val="00EC65C0"/>
    <w:rsid w:val="00ED06E9"/>
    <w:rsid w:val="00ED2254"/>
    <w:rsid w:val="00ED409C"/>
    <w:rsid w:val="00ED76B9"/>
    <w:rsid w:val="00ED7FDC"/>
    <w:rsid w:val="00EE2965"/>
    <w:rsid w:val="00EE389F"/>
    <w:rsid w:val="00EE4025"/>
    <w:rsid w:val="00EE6414"/>
    <w:rsid w:val="00EE67D5"/>
    <w:rsid w:val="00EE6FC1"/>
    <w:rsid w:val="00EE7948"/>
    <w:rsid w:val="00EE7F3B"/>
    <w:rsid w:val="00EF0331"/>
    <w:rsid w:val="00EF0499"/>
    <w:rsid w:val="00EF0621"/>
    <w:rsid w:val="00EF0DD5"/>
    <w:rsid w:val="00EF2EB1"/>
    <w:rsid w:val="00EF2F49"/>
    <w:rsid w:val="00EF31DD"/>
    <w:rsid w:val="00EF4305"/>
    <w:rsid w:val="00EF5B18"/>
    <w:rsid w:val="00EF5BB1"/>
    <w:rsid w:val="00EF7F3B"/>
    <w:rsid w:val="00F0040A"/>
    <w:rsid w:val="00F004C4"/>
    <w:rsid w:val="00F01BEB"/>
    <w:rsid w:val="00F046F4"/>
    <w:rsid w:val="00F057F7"/>
    <w:rsid w:val="00F073CC"/>
    <w:rsid w:val="00F101FE"/>
    <w:rsid w:val="00F1063B"/>
    <w:rsid w:val="00F10822"/>
    <w:rsid w:val="00F111C8"/>
    <w:rsid w:val="00F13A40"/>
    <w:rsid w:val="00F142C8"/>
    <w:rsid w:val="00F171B1"/>
    <w:rsid w:val="00F200AB"/>
    <w:rsid w:val="00F22CA2"/>
    <w:rsid w:val="00F23EE7"/>
    <w:rsid w:val="00F24AA8"/>
    <w:rsid w:val="00F25FAF"/>
    <w:rsid w:val="00F26641"/>
    <w:rsid w:val="00F31613"/>
    <w:rsid w:val="00F31E7B"/>
    <w:rsid w:val="00F33496"/>
    <w:rsid w:val="00F33C9B"/>
    <w:rsid w:val="00F36228"/>
    <w:rsid w:val="00F37A82"/>
    <w:rsid w:val="00F37CD9"/>
    <w:rsid w:val="00F37D19"/>
    <w:rsid w:val="00F42334"/>
    <w:rsid w:val="00F42572"/>
    <w:rsid w:val="00F43835"/>
    <w:rsid w:val="00F46C10"/>
    <w:rsid w:val="00F46D38"/>
    <w:rsid w:val="00F46D64"/>
    <w:rsid w:val="00F47A34"/>
    <w:rsid w:val="00F50D0D"/>
    <w:rsid w:val="00F51BB6"/>
    <w:rsid w:val="00F54334"/>
    <w:rsid w:val="00F5460F"/>
    <w:rsid w:val="00F547AF"/>
    <w:rsid w:val="00F55CF6"/>
    <w:rsid w:val="00F57295"/>
    <w:rsid w:val="00F61B87"/>
    <w:rsid w:val="00F6443F"/>
    <w:rsid w:val="00F64652"/>
    <w:rsid w:val="00F6527D"/>
    <w:rsid w:val="00F65574"/>
    <w:rsid w:val="00F65F89"/>
    <w:rsid w:val="00F675BF"/>
    <w:rsid w:val="00F70113"/>
    <w:rsid w:val="00F70FA9"/>
    <w:rsid w:val="00F71172"/>
    <w:rsid w:val="00F7119E"/>
    <w:rsid w:val="00F7129B"/>
    <w:rsid w:val="00F713D4"/>
    <w:rsid w:val="00F720BE"/>
    <w:rsid w:val="00F73CAA"/>
    <w:rsid w:val="00F75F23"/>
    <w:rsid w:val="00F76530"/>
    <w:rsid w:val="00F76E9A"/>
    <w:rsid w:val="00F772E6"/>
    <w:rsid w:val="00F77C87"/>
    <w:rsid w:val="00F82077"/>
    <w:rsid w:val="00F82ABE"/>
    <w:rsid w:val="00F84231"/>
    <w:rsid w:val="00F84417"/>
    <w:rsid w:val="00F84FDC"/>
    <w:rsid w:val="00F85E03"/>
    <w:rsid w:val="00F8642E"/>
    <w:rsid w:val="00F90145"/>
    <w:rsid w:val="00F91DC3"/>
    <w:rsid w:val="00F91EB6"/>
    <w:rsid w:val="00F92201"/>
    <w:rsid w:val="00F92949"/>
    <w:rsid w:val="00F92DC4"/>
    <w:rsid w:val="00F9320D"/>
    <w:rsid w:val="00F93ADC"/>
    <w:rsid w:val="00F94D73"/>
    <w:rsid w:val="00F953F0"/>
    <w:rsid w:val="00F954CE"/>
    <w:rsid w:val="00F9612D"/>
    <w:rsid w:val="00F963C6"/>
    <w:rsid w:val="00F96763"/>
    <w:rsid w:val="00F97482"/>
    <w:rsid w:val="00F976A8"/>
    <w:rsid w:val="00F97F55"/>
    <w:rsid w:val="00FA0A72"/>
    <w:rsid w:val="00FA1500"/>
    <w:rsid w:val="00FA3608"/>
    <w:rsid w:val="00FA3CFB"/>
    <w:rsid w:val="00FA3EC2"/>
    <w:rsid w:val="00FA43D8"/>
    <w:rsid w:val="00FA5877"/>
    <w:rsid w:val="00FA58D1"/>
    <w:rsid w:val="00FA6F87"/>
    <w:rsid w:val="00FA79B1"/>
    <w:rsid w:val="00FA79BF"/>
    <w:rsid w:val="00FB0202"/>
    <w:rsid w:val="00FB19FB"/>
    <w:rsid w:val="00FB31C6"/>
    <w:rsid w:val="00FB496F"/>
    <w:rsid w:val="00FB4C9A"/>
    <w:rsid w:val="00FB4DD7"/>
    <w:rsid w:val="00FB74C1"/>
    <w:rsid w:val="00FB7862"/>
    <w:rsid w:val="00FC01F2"/>
    <w:rsid w:val="00FC16A3"/>
    <w:rsid w:val="00FC2628"/>
    <w:rsid w:val="00FC5484"/>
    <w:rsid w:val="00FC54AE"/>
    <w:rsid w:val="00FC5678"/>
    <w:rsid w:val="00FC5B51"/>
    <w:rsid w:val="00FC5E48"/>
    <w:rsid w:val="00FC7000"/>
    <w:rsid w:val="00FD1C39"/>
    <w:rsid w:val="00FD4CD1"/>
    <w:rsid w:val="00FD4E89"/>
    <w:rsid w:val="00FD55D4"/>
    <w:rsid w:val="00FD7A6C"/>
    <w:rsid w:val="00FD7D1B"/>
    <w:rsid w:val="00FD7F73"/>
    <w:rsid w:val="00FE0055"/>
    <w:rsid w:val="00FE2417"/>
    <w:rsid w:val="00FE5547"/>
    <w:rsid w:val="00FF1525"/>
    <w:rsid w:val="00FF3376"/>
    <w:rsid w:val="00FF522B"/>
    <w:rsid w:val="00FF6C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457"/>
    <w:pPr>
      <w:spacing w:after="0" w:line="240" w:lineRule="auto"/>
    </w:pPr>
    <w:rPr>
      <w:rFonts w:ascii="Arial" w:hAnsi="Arial"/>
      <w:sz w:val="18"/>
    </w:rPr>
  </w:style>
  <w:style w:type="paragraph" w:styleId="Overskrift1">
    <w:name w:val="heading 1"/>
    <w:basedOn w:val="Normal"/>
    <w:next w:val="Normal"/>
    <w:link w:val="Overskrift1Tegn"/>
    <w:qFormat/>
    <w:rsid w:val="007C4E53"/>
    <w:pPr>
      <w:keepNext/>
      <w:keepLines/>
      <w:numPr>
        <w:numId w:val="20"/>
      </w:numPr>
      <w:spacing w:before="480"/>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unhideWhenUsed/>
    <w:qFormat/>
    <w:rsid w:val="0091410F"/>
    <w:pPr>
      <w:numPr>
        <w:ilvl w:val="1"/>
        <w:numId w:val="20"/>
      </w:numPr>
      <w:outlineLvl w:val="1"/>
    </w:pPr>
    <w:rPr>
      <w:b/>
      <w:color w:val="000000" w:themeColor="text1"/>
      <w:sz w:val="22"/>
    </w:rPr>
  </w:style>
  <w:style w:type="paragraph" w:styleId="Overskrift3">
    <w:name w:val="heading 3"/>
    <w:basedOn w:val="Normal"/>
    <w:next w:val="Normal"/>
    <w:link w:val="Overskrift3Tegn"/>
    <w:unhideWhenUsed/>
    <w:qFormat/>
    <w:rsid w:val="00554E28"/>
    <w:pPr>
      <w:numPr>
        <w:ilvl w:val="2"/>
        <w:numId w:val="20"/>
      </w:numPr>
      <w:outlineLvl w:val="2"/>
    </w:pPr>
    <w:rPr>
      <w:b/>
      <w:szCs w:val="18"/>
    </w:rPr>
  </w:style>
  <w:style w:type="paragraph" w:styleId="Overskrift4">
    <w:name w:val="heading 4"/>
    <w:basedOn w:val="Normal"/>
    <w:next w:val="Normal"/>
    <w:link w:val="Overskrift4Tegn"/>
    <w:uiPriority w:val="9"/>
    <w:unhideWhenUsed/>
    <w:qFormat/>
    <w:rsid w:val="00EF0331"/>
    <w:pPr>
      <w:keepNext/>
      <w:keepLines/>
      <w:numPr>
        <w:ilvl w:val="3"/>
        <w:numId w:val="20"/>
      </w:numPr>
      <w:spacing w:before="200"/>
      <w:outlineLvl w:val="3"/>
    </w:pPr>
    <w:rPr>
      <w:rFonts w:asciiTheme="majorHAnsi" w:eastAsiaTheme="majorEastAsia" w:hAnsiTheme="majorHAnsi" w:cstheme="majorBidi"/>
      <w:b/>
      <w:bCs/>
      <w:i/>
      <w:iCs/>
      <w:color w:val="DDDDDD" w:themeColor="accent1"/>
    </w:rPr>
  </w:style>
  <w:style w:type="paragraph" w:styleId="Overskrift5">
    <w:name w:val="heading 5"/>
    <w:basedOn w:val="Normal"/>
    <w:next w:val="Normal"/>
    <w:link w:val="Overskrift5Tegn"/>
    <w:uiPriority w:val="9"/>
    <w:unhideWhenUsed/>
    <w:qFormat/>
    <w:rsid w:val="00032E7C"/>
    <w:pPr>
      <w:keepNext/>
      <w:keepLines/>
      <w:numPr>
        <w:ilvl w:val="4"/>
        <w:numId w:val="20"/>
      </w:numPr>
      <w:spacing w:before="200"/>
      <w:outlineLvl w:val="4"/>
    </w:pPr>
    <w:rPr>
      <w:rFonts w:asciiTheme="majorHAnsi" w:eastAsiaTheme="majorEastAsia" w:hAnsiTheme="majorHAnsi" w:cstheme="majorBidi"/>
      <w:color w:val="6E6E6E" w:themeColor="accent1" w:themeShade="7F"/>
    </w:rPr>
  </w:style>
  <w:style w:type="paragraph" w:styleId="Overskrift6">
    <w:name w:val="heading 6"/>
    <w:basedOn w:val="Normal"/>
    <w:next w:val="Normal"/>
    <w:link w:val="Overskrift6Tegn"/>
    <w:uiPriority w:val="9"/>
    <w:semiHidden/>
    <w:unhideWhenUsed/>
    <w:qFormat/>
    <w:rsid w:val="00975F48"/>
    <w:pPr>
      <w:keepNext/>
      <w:keepLines/>
      <w:numPr>
        <w:ilvl w:val="5"/>
        <w:numId w:val="20"/>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975F48"/>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75F48"/>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75F48"/>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nhideWhenUsed/>
    <w:rsid w:val="00FC01F2"/>
    <w:rPr>
      <w:rFonts w:ascii="Tahoma" w:hAnsi="Tahoma" w:cs="Tahoma"/>
      <w:sz w:val="16"/>
      <w:szCs w:val="16"/>
    </w:rPr>
  </w:style>
  <w:style w:type="character" w:customStyle="1" w:styleId="BobletekstTegn">
    <w:name w:val="Bobletekst Tegn"/>
    <w:basedOn w:val="Standardskriftforavsnitt"/>
    <w:link w:val="Bobletekst"/>
    <w:rsid w:val="00FC01F2"/>
    <w:rPr>
      <w:rFonts w:ascii="Tahoma" w:hAnsi="Tahoma" w:cs="Tahoma"/>
      <w:sz w:val="16"/>
      <w:szCs w:val="16"/>
    </w:rPr>
  </w:style>
  <w:style w:type="character" w:customStyle="1" w:styleId="Overskrift1Tegn">
    <w:name w:val="Overskrift 1 Tegn"/>
    <w:basedOn w:val="Standardskriftforavsnitt"/>
    <w:link w:val="Overskrift1"/>
    <w:rsid w:val="007C4E53"/>
    <w:rPr>
      <w:rFonts w:asciiTheme="majorHAnsi" w:eastAsiaTheme="majorEastAsia" w:hAnsiTheme="majorHAnsi" w:cstheme="majorBidi"/>
      <w:b/>
      <w:bCs/>
      <w:color w:val="000000" w:themeColor="text1"/>
      <w:sz w:val="28"/>
      <w:szCs w:val="28"/>
    </w:rPr>
  </w:style>
  <w:style w:type="paragraph" w:styleId="Overskriftforinnholdsfortegnelse">
    <w:name w:val="TOC Heading"/>
    <w:basedOn w:val="Overskrift1"/>
    <w:next w:val="Normal"/>
    <w:uiPriority w:val="39"/>
    <w:unhideWhenUsed/>
    <w:qFormat/>
    <w:rsid w:val="001030A7"/>
    <w:pPr>
      <w:outlineLvl w:val="9"/>
    </w:pPr>
  </w:style>
  <w:style w:type="paragraph" w:styleId="INNH1">
    <w:name w:val="toc 1"/>
    <w:basedOn w:val="Normal"/>
    <w:next w:val="Normal"/>
    <w:autoRedefine/>
    <w:uiPriority w:val="39"/>
    <w:unhideWhenUsed/>
    <w:qFormat/>
    <w:rsid w:val="009779A1"/>
    <w:pPr>
      <w:tabs>
        <w:tab w:val="left" w:pos="440"/>
        <w:tab w:val="right" w:leader="dot" w:pos="9062"/>
      </w:tabs>
      <w:spacing w:after="100"/>
    </w:pPr>
    <w:rPr>
      <w:noProof/>
    </w:rPr>
  </w:style>
  <w:style w:type="character" w:styleId="Hyperkobling">
    <w:name w:val="Hyperlink"/>
    <w:basedOn w:val="Standardskriftforavsnitt"/>
    <w:uiPriority w:val="99"/>
    <w:unhideWhenUsed/>
    <w:rsid w:val="001030A7"/>
    <w:rPr>
      <w:color w:val="5F5F5F" w:themeColor="hyperlink"/>
      <w:u w:val="single"/>
    </w:rPr>
  </w:style>
  <w:style w:type="paragraph" w:styleId="INNH2">
    <w:name w:val="toc 2"/>
    <w:basedOn w:val="Normal"/>
    <w:next w:val="Normal"/>
    <w:autoRedefine/>
    <w:uiPriority w:val="39"/>
    <w:unhideWhenUsed/>
    <w:qFormat/>
    <w:rsid w:val="00E2388A"/>
    <w:pPr>
      <w:tabs>
        <w:tab w:val="left" w:pos="880"/>
        <w:tab w:val="right" w:leader="dot" w:pos="9062"/>
      </w:tabs>
      <w:spacing w:after="100"/>
      <w:ind w:left="221"/>
    </w:pPr>
    <w:rPr>
      <w:rFonts w:eastAsiaTheme="minorEastAsia"/>
    </w:rPr>
  </w:style>
  <w:style w:type="paragraph" w:styleId="INNH3">
    <w:name w:val="toc 3"/>
    <w:basedOn w:val="Normal"/>
    <w:next w:val="Normal"/>
    <w:autoRedefine/>
    <w:uiPriority w:val="39"/>
    <w:unhideWhenUsed/>
    <w:qFormat/>
    <w:rsid w:val="009B2393"/>
    <w:pPr>
      <w:spacing w:after="100"/>
      <w:ind w:left="440"/>
    </w:pPr>
    <w:rPr>
      <w:rFonts w:eastAsiaTheme="minorEastAsia"/>
    </w:rPr>
  </w:style>
  <w:style w:type="character" w:customStyle="1" w:styleId="Overskrift2Tegn">
    <w:name w:val="Overskrift 2 Tegn"/>
    <w:basedOn w:val="Standardskriftforavsnitt"/>
    <w:link w:val="Overskrift2"/>
    <w:rsid w:val="0091410F"/>
    <w:rPr>
      <w:rFonts w:ascii="Arial" w:hAnsi="Arial"/>
      <w:b/>
      <w:color w:val="000000" w:themeColor="text1"/>
    </w:rPr>
  </w:style>
  <w:style w:type="character" w:customStyle="1" w:styleId="Overskrift3Tegn">
    <w:name w:val="Overskrift 3 Tegn"/>
    <w:basedOn w:val="Standardskriftforavsnitt"/>
    <w:link w:val="Overskrift3"/>
    <w:rsid w:val="00554E28"/>
    <w:rPr>
      <w:rFonts w:ascii="Arial" w:hAnsi="Arial"/>
      <w:b/>
      <w:sz w:val="18"/>
      <w:szCs w:val="18"/>
    </w:rPr>
  </w:style>
  <w:style w:type="paragraph" w:styleId="Brdtekst3">
    <w:name w:val="Body Text 3"/>
    <w:basedOn w:val="Normal"/>
    <w:link w:val="Brdtekst3Tegn"/>
    <w:rsid w:val="00064D50"/>
    <w:rPr>
      <w:rFonts w:ascii="Times New Roman" w:eastAsia="Times New Roman" w:hAnsi="Times New Roman" w:cs="Times New Roman"/>
      <w:color w:val="FF0000"/>
      <w:sz w:val="24"/>
      <w:szCs w:val="24"/>
      <w:lang w:eastAsia="nb-NO"/>
    </w:rPr>
  </w:style>
  <w:style w:type="character" w:customStyle="1" w:styleId="Brdtekst3Tegn">
    <w:name w:val="Brødtekst 3 Tegn"/>
    <w:basedOn w:val="Standardskriftforavsnitt"/>
    <w:link w:val="Brdtekst3"/>
    <w:rsid w:val="00064D50"/>
    <w:rPr>
      <w:rFonts w:ascii="Times New Roman" w:eastAsia="Times New Roman" w:hAnsi="Times New Roman" w:cs="Times New Roman"/>
      <w:color w:val="FF0000"/>
      <w:sz w:val="24"/>
      <w:szCs w:val="24"/>
      <w:lang w:eastAsia="nb-NO"/>
    </w:rPr>
  </w:style>
  <w:style w:type="paragraph" w:styleId="Listeavsnitt">
    <w:name w:val="List Paragraph"/>
    <w:basedOn w:val="Normal"/>
    <w:uiPriority w:val="34"/>
    <w:qFormat/>
    <w:rsid w:val="00336557"/>
    <w:pPr>
      <w:ind w:left="720"/>
      <w:contextualSpacing/>
    </w:pPr>
  </w:style>
  <w:style w:type="paragraph" w:styleId="Fotnotetekst">
    <w:name w:val="footnote text"/>
    <w:basedOn w:val="Normal"/>
    <w:link w:val="FotnotetekstTegn"/>
    <w:uiPriority w:val="99"/>
    <w:semiHidden/>
    <w:unhideWhenUsed/>
    <w:rsid w:val="00AF2ECC"/>
    <w:rPr>
      <w:sz w:val="20"/>
      <w:szCs w:val="20"/>
    </w:rPr>
  </w:style>
  <w:style w:type="character" w:customStyle="1" w:styleId="FotnotetekstTegn">
    <w:name w:val="Fotnotetekst Tegn"/>
    <w:basedOn w:val="Standardskriftforavsnitt"/>
    <w:link w:val="Fotnotetekst"/>
    <w:uiPriority w:val="99"/>
    <w:semiHidden/>
    <w:rsid w:val="00AF2ECC"/>
    <w:rPr>
      <w:rFonts w:ascii="Arial" w:hAnsi="Arial"/>
      <w:sz w:val="20"/>
      <w:szCs w:val="20"/>
    </w:rPr>
  </w:style>
  <w:style w:type="character" w:styleId="Fotnotereferanse">
    <w:name w:val="footnote reference"/>
    <w:basedOn w:val="Standardskriftforavsnitt"/>
    <w:uiPriority w:val="99"/>
    <w:semiHidden/>
    <w:unhideWhenUsed/>
    <w:rsid w:val="00AF2ECC"/>
    <w:rPr>
      <w:vertAlign w:val="superscript"/>
    </w:rPr>
  </w:style>
  <w:style w:type="paragraph" w:styleId="Topptekst">
    <w:name w:val="header"/>
    <w:basedOn w:val="Normal"/>
    <w:link w:val="TopptekstTegn"/>
    <w:uiPriority w:val="99"/>
    <w:unhideWhenUsed/>
    <w:rsid w:val="00AF2ECC"/>
    <w:pPr>
      <w:tabs>
        <w:tab w:val="center" w:pos="4536"/>
        <w:tab w:val="right" w:pos="9072"/>
      </w:tabs>
    </w:pPr>
  </w:style>
  <w:style w:type="character" w:customStyle="1" w:styleId="TopptekstTegn">
    <w:name w:val="Topptekst Tegn"/>
    <w:basedOn w:val="Standardskriftforavsnitt"/>
    <w:link w:val="Topptekst"/>
    <w:uiPriority w:val="99"/>
    <w:rsid w:val="00AF2ECC"/>
    <w:rPr>
      <w:rFonts w:ascii="Arial" w:hAnsi="Arial"/>
      <w:sz w:val="18"/>
    </w:rPr>
  </w:style>
  <w:style w:type="paragraph" w:styleId="Bunntekst">
    <w:name w:val="footer"/>
    <w:basedOn w:val="Normal"/>
    <w:link w:val="BunntekstTegn"/>
    <w:uiPriority w:val="99"/>
    <w:unhideWhenUsed/>
    <w:rsid w:val="00AF2ECC"/>
    <w:pPr>
      <w:tabs>
        <w:tab w:val="center" w:pos="4536"/>
        <w:tab w:val="right" w:pos="9072"/>
      </w:tabs>
    </w:pPr>
  </w:style>
  <w:style w:type="character" w:customStyle="1" w:styleId="BunntekstTegn">
    <w:name w:val="Bunntekst Tegn"/>
    <w:basedOn w:val="Standardskriftforavsnitt"/>
    <w:link w:val="Bunntekst"/>
    <w:uiPriority w:val="99"/>
    <w:rsid w:val="00AF2ECC"/>
    <w:rPr>
      <w:rFonts w:ascii="Arial" w:hAnsi="Arial"/>
      <w:sz w:val="18"/>
    </w:rPr>
  </w:style>
  <w:style w:type="table" w:styleId="Tabellrutenett">
    <w:name w:val="Table Grid"/>
    <w:basedOn w:val="Vanligtabell"/>
    <w:rsid w:val="005073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Utheving">
    <w:name w:val="Emphasis"/>
    <w:basedOn w:val="Standardskriftforavsnitt"/>
    <w:uiPriority w:val="20"/>
    <w:qFormat/>
    <w:rsid w:val="005819D4"/>
    <w:rPr>
      <w:i/>
      <w:iCs/>
    </w:rPr>
  </w:style>
  <w:style w:type="paragraph" w:styleId="INNH4">
    <w:name w:val="toc 4"/>
    <w:basedOn w:val="Normal"/>
    <w:next w:val="Normal"/>
    <w:autoRedefine/>
    <w:uiPriority w:val="39"/>
    <w:unhideWhenUsed/>
    <w:rsid w:val="005D56E1"/>
    <w:pPr>
      <w:spacing w:after="100" w:line="276" w:lineRule="auto"/>
      <w:ind w:left="660"/>
    </w:pPr>
    <w:rPr>
      <w:rFonts w:asciiTheme="minorHAnsi" w:eastAsiaTheme="minorEastAsia" w:hAnsiTheme="minorHAnsi"/>
      <w:sz w:val="22"/>
      <w:lang w:eastAsia="nb-NO"/>
    </w:rPr>
  </w:style>
  <w:style w:type="paragraph" w:styleId="INNH5">
    <w:name w:val="toc 5"/>
    <w:basedOn w:val="Normal"/>
    <w:next w:val="Normal"/>
    <w:autoRedefine/>
    <w:uiPriority w:val="39"/>
    <w:unhideWhenUsed/>
    <w:rsid w:val="005D56E1"/>
    <w:pPr>
      <w:spacing w:after="100" w:line="276" w:lineRule="auto"/>
      <w:ind w:left="880"/>
    </w:pPr>
    <w:rPr>
      <w:rFonts w:asciiTheme="minorHAnsi" w:eastAsiaTheme="minorEastAsia" w:hAnsiTheme="minorHAnsi"/>
      <w:sz w:val="22"/>
      <w:lang w:eastAsia="nb-NO"/>
    </w:rPr>
  </w:style>
  <w:style w:type="paragraph" w:styleId="INNH6">
    <w:name w:val="toc 6"/>
    <w:basedOn w:val="Normal"/>
    <w:next w:val="Normal"/>
    <w:autoRedefine/>
    <w:uiPriority w:val="39"/>
    <w:unhideWhenUsed/>
    <w:rsid w:val="005D56E1"/>
    <w:pPr>
      <w:spacing w:after="100" w:line="276" w:lineRule="auto"/>
      <w:ind w:left="1100"/>
    </w:pPr>
    <w:rPr>
      <w:rFonts w:asciiTheme="minorHAnsi" w:eastAsiaTheme="minorEastAsia" w:hAnsiTheme="minorHAnsi"/>
      <w:sz w:val="22"/>
      <w:lang w:eastAsia="nb-NO"/>
    </w:rPr>
  </w:style>
  <w:style w:type="paragraph" w:styleId="INNH7">
    <w:name w:val="toc 7"/>
    <w:basedOn w:val="Normal"/>
    <w:next w:val="Normal"/>
    <w:autoRedefine/>
    <w:uiPriority w:val="39"/>
    <w:unhideWhenUsed/>
    <w:rsid w:val="005D56E1"/>
    <w:pPr>
      <w:spacing w:after="100" w:line="276" w:lineRule="auto"/>
      <w:ind w:left="1320"/>
    </w:pPr>
    <w:rPr>
      <w:rFonts w:asciiTheme="minorHAnsi" w:eastAsiaTheme="minorEastAsia" w:hAnsiTheme="minorHAnsi"/>
      <w:sz w:val="22"/>
      <w:lang w:eastAsia="nb-NO"/>
    </w:rPr>
  </w:style>
  <w:style w:type="paragraph" w:styleId="INNH8">
    <w:name w:val="toc 8"/>
    <w:basedOn w:val="Normal"/>
    <w:next w:val="Normal"/>
    <w:autoRedefine/>
    <w:uiPriority w:val="39"/>
    <w:unhideWhenUsed/>
    <w:rsid w:val="005D56E1"/>
    <w:pPr>
      <w:spacing w:after="100" w:line="276" w:lineRule="auto"/>
      <w:ind w:left="1540"/>
    </w:pPr>
    <w:rPr>
      <w:rFonts w:asciiTheme="minorHAnsi" w:eastAsiaTheme="minorEastAsia" w:hAnsiTheme="minorHAnsi"/>
      <w:sz w:val="22"/>
      <w:lang w:eastAsia="nb-NO"/>
    </w:rPr>
  </w:style>
  <w:style w:type="paragraph" w:styleId="INNH9">
    <w:name w:val="toc 9"/>
    <w:basedOn w:val="Normal"/>
    <w:next w:val="Normal"/>
    <w:autoRedefine/>
    <w:uiPriority w:val="39"/>
    <w:unhideWhenUsed/>
    <w:rsid w:val="005D56E1"/>
    <w:pPr>
      <w:spacing w:after="100" w:line="276" w:lineRule="auto"/>
      <w:ind w:left="1760"/>
    </w:pPr>
    <w:rPr>
      <w:rFonts w:asciiTheme="minorHAnsi" w:eastAsiaTheme="minorEastAsia" w:hAnsiTheme="minorHAnsi"/>
      <w:sz w:val="22"/>
      <w:lang w:eastAsia="nb-NO"/>
    </w:rPr>
  </w:style>
  <w:style w:type="character" w:styleId="Sidetall">
    <w:name w:val="page number"/>
    <w:basedOn w:val="Standardskriftforavsnitt"/>
    <w:rsid w:val="000761BE"/>
  </w:style>
  <w:style w:type="paragraph" w:styleId="Brdtekst">
    <w:name w:val="Body Text"/>
    <w:basedOn w:val="Normal"/>
    <w:link w:val="BrdtekstTegn"/>
    <w:rsid w:val="000761BE"/>
    <w:pPr>
      <w:spacing w:before="115"/>
      <w:ind w:left="2880"/>
    </w:pPr>
    <w:rPr>
      <w:rFonts w:ascii="Times New Roman" w:eastAsia="Times New Roman" w:hAnsi="Times New Roman" w:cs="Times New Roman"/>
      <w:sz w:val="20"/>
      <w:szCs w:val="20"/>
      <w:lang w:eastAsia="nb-NO"/>
    </w:rPr>
  </w:style>
  <w:style w:type="character" w:customStyle="1" w:styleId="BrdtekstTegn">
    <w:name w:val="Brødtekst Tegn"/>
    <w:basedOn w:val="Standardskriftforavsnitt"/>
    <w:link w:val="Brdtekst"/>
    <w:rsid w:val="000761BE"/>
    <w:rPr>
      <w:rFonts w:ascii="Times New Roman" w:eastAsia="Times New Roman" w:hAnsi="Times New Roman" w:cs="Times New Roman"/>
      <w:sz w:val="20"/>
      <w:szCs w:val="20"/>
      <w:lang w:eastAsia="nb-NO"/>
    </w:rPr>
  </w:style>
  <w:style w:type="character" w:customStyle="1" w:styleId="TegnTegn">
    <w:name w:val="Tegn Tegn"/>
    <w:basedOn w:val="Standardskriftforavsnitt"/>
    <w:rsid w:val="000761BE"/>
    <w:rPr>
      <w:lang w:val="nb-NO" w:eastAsia="nb-NO" w:bidi="ar-SA"/>
    </w:rPr>
  </w:style>
  <w:style w:type="paragraph" w:customStyle="1" w:styleId="HeadingBase">
    <w:name w:val="Heading Base"/>
    <w:basedOn w:val="Normal"/>
    <w:rsid w:val="000761BE"/>
    <w:rPr>
      <w:rFonts w:eastAsia="Times New Roman" w:cs="Times New Roman"/>
      <w:b/>
      <w:sz w:val="20"/>
      <w:szCs w:val="20"/>
      <w:lang w:eastAsia="nb-NO"/>
    </w:rPr>
  </w:style>
  <w:style w:type="paragraph" w:styleId="Bildetekst">
    <w:name w:val="caption"/>
    <w:basedOn w:val="Normal"/>
    <w:next w:val="Normal"/>
    <w:uiPriority w:val="99"/>
    <w:qFormat/>
    <w:rsid w:val="000761BE"/>
    <w:rPr>
      <w:rFonts w:eastAsia="Times New Roman" w:cs="Arial"/>
      <w:b/>
      <w:bCs/>
      <w:sz w:val="24"/>
      <w:szCs w:val="24"/>
      <w:lang w:eastAsia="nb-NO"/>
    </w:rPr>
  </w:style>
  <w:style w:type="paragraph" w:styleId="Figurliste">
    <w:name w:val="table of figures"/>
    <w:basedOn w:val="Normal"/>
    <w:next w:val="Normal"/>
    <w:uiPriority w:val="99"/>
    <w:rsid w:val="000761BE"/>
    <w:rPr>
      <w:rFonts w:ascii="Times New Roman" w:eastAsia="Times New Roman" w:hAnsi="Times New Roman" w:cs="Times New Roman"/>
      <w:sz w:val="20"/>
      <w:szCs w:val="20"/>
      <w:lang w:eastAsia="nb-NO"/>
    </w:rPr>
  </w:style>
  <w:style w:type="character" w:customStyle="1" w:styleId="Overskrift4Tegn">
    <w:name w:val="Overskrift 4 Tegn"/>
    <w:basedOn w:val="Standardskriftforavsnitt"/>
    <w:link w:val="Overskrift4"/>
    <w:uiPriority w:val="9"/>
    <w:rsid w:val="00EF0331"/>
    <w:rPr>
      <w:rFonts w:asciiTheme="majorHAnsi" w:eastAsiaTheme="majorEastAsia" w:hAnsiTheme="majorHAnsi" w:cstheme="majorBidi"/>
      <w:b/>
      <w:bCs/>
      <w:i/>
      <w:iCs/>
      <w:color w:val="DDDDDD" w:themeColor="accent1"/>
      <w:sz w:val="18"/>
    </w:rPr>
  </w:style>
  <w:style w:type="paragraph" w:styleId="Tittel">
    <w:name w:val="Title"/>
    <w:basedOn w:val="Normal"/>
    <w:next w:val="Normal"/>
    <w:link w:val="TittelTegn"/>
    <w:uiPriority w:val="10"/>
    <w:qFormat/>
    <w:rsid w:val="00EF0331"/>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telTegn">
    <w:name w:val="Tittel Tegn"/>
    <w:basedOn w:val="Standardskriftforavsnitt"/>
    <w:link w:val="Tittel"/>
    <w:uiPriority w:val="10"/>
    <w:rsid w:val="00EF0331"/>
    <w:rPr>
      <w:rFonts w:asciiTheme="majorHAnsi" w:eastAsiaTheme="majorEastAsia" w:hAnsiTheme="majorHAnsi" w:cstheme="majorBidi"/>
      <w:color w:val="000000" w:themeColor="text2" w:themeShade="BF"/>
      <w:spacing w:val="5"/>
      <w:kern w:val="28"/>
      <w:sz w:val="52"/>
      <w:szCs w:val="52"/>
    </w:rPr>
  </w:style>
  <w:style w:type="character" w:customStyle="1" w:styleId="Overskrift5Tegn">
    <w:name w:val="Overskrift 5 Tegn"/>
    <w:basedOn w:val="Standardskriftforavsnitt"/>
    <w:link w:val="Overskrift5"/>
    <w:uiPriority w:val="9"/>
    <w:rsid w:val="00032E7C"/>
    <w:rPr>
      <w:rFonts w:asciiTheme="majorHAnsi" w:eastAsiaTheme="majorEastAsia" w:hAnsiTheme="majorHAnsi" w:cstheme="majorBidi"/>
      <w:color w:val="6E6E6E" w:themeColor="accent1" w:themeShade="7F"/>
      <w:sz w:val="18"/>
    </w:rPr>
  </w:style>
  <w:style w:type="character" w:customStyle="1" w:styleId="Overskrift6Tegn">
    <w:name w:val="Overskrift 6 Tegn"/>
    <w:basedOn w:val="Standardskriftforavsnitt"/>
    <w:link w:val="Overskrift6"/>
    <w:uiPriority w:val="9"/>
    <w:semiHidden/>
    <w:rsid w:val="00975F48"/>
    <w:rPr>
      <w:rFonts w:asciiTheme="majorHAnsi" w:eastAsiaTheme="majorEastAsia" w:hAnsiTheme="majorHAnsi" w:cstheme="majorBidi"/>
      <w:i/>
      <w:iCs/>
      <w:color w:val="6E6E6E" w:themeColor="accent1" w:themeShade="7F"/>
      <w:sz w:val="18"/>
    </w:rPr>
  </w:style>
  <w:style w:type="paragraph" w:styleId="Kildelisteoverskrift">
    <w:name w:val="toa heading"/>
    <w:basedOn w:val="Normal"/>
    <w:next w:val="Normal"/>
    <w:uiPriority w:val="99"/>
    <w:semiHidden/>
    <w:unhideWhenUsed/>
    <w:rsid w:val="00032E7C"/>
    <w:pPr>
      <w:spacing w:before="120"/>
    </w:pPr>
    <w:rPr>
      <w:rFonts w:asciiTheme="majorHAnsi" w:eastAsiaTheme="majorEastAsia" w:hAnsiTheme="majorHAnsi" w:cstheme="majorBidi"/>
      <w:b/>
      <w:bCs/>
      <w:sz w:val="24"/>
      <w:szCs w:val="24"/>
    </w:rPr>
  </w:style>
  <w:style w:type="character" w:customStyle="1" w:styleId="Overskrift7Tegn">
    <w:name w:val="Overskrift 7 Tegn"/>
    <w:basedOn w:val="Standardskriftforavsnitt"/>
    <w:link w:val="Overskrift7"/>
    <w:uiPriority w:val="9"/>
    <w:semiHidden/>
    <w:rsid w:val="00975F48"/>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foravsnitt"/>
    <w:link w:val="Overskrift8"/>
    <w:uiPriority w:val="9"/>
    <w:semiHidden/>
    <w:rsid w:val="00975F4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975F48"/>
    <w:rPr>
      <w:rFonts w:asciiTheme="majorHAnsi" w:eastAsiaTheme="majorEastAsia" w:hAnsiTheme="majorHAnsi" w:cstheme="majorBidi"/>
      <w:i/>
      <w:iCs/>
      <w:color w:val="404040" w:themeColor="text1" w:themeTint="BF"/>
      <w:sz w:val="20"/>
      <w:szCs w:val="20"/>
    </w:rPr>
  </w:style>
  <w:style w:type="paragraph" w:styleId="Ingenmellomrom">
    <w:name w:val="No Spacing"/>
    <w:uiPriority w:val="1"/>
    <w:qFormat/>
    <w:rsid w:val="00975F48"/>
    <w:pPr>
      <w:spacing w:after="0" w:line="240" w:lineRule="auto"/>
    </w:pPr>
    <w:rPr>
      <w:rFonts w:ascii="Arial" w:hAnsi="Arial"/>
      <w:sz w:val="18"/>
    </w:rPr>
  </w:style>
  <w:style w:type="table" w:styleId="Middelsliste1">
    <w:name w:val="Medium List 1"/>
    <w:basedOn w:val="Vanligtabell"/>
    <w:uiPriority w:val="65"/>
    <w:rsid w:val="00F073CC"/>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2-uthevingsfarge2">
    <w:name w:val="Medium List 2 Accent 2"/>
    <w:basedOn w:val="Vanligtabell"/>
    <w:uiPriority w:val="66"/>
    <w:rsid w:val="00F073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500">
      <w:bodyDiv w:val="1"/>
      <w:marLeft w:val="0"/>
      <w:marRight w:val="0"/>
      <w:marTop w:val="0"/>
      <w:marBottom w:val="0"/>
      <w:divBdr>
        <w:top w:val="none" w:sz="0" w:space="0" w:color="auto"/>
        <w:left w:val="none" w:sz="0" w:space="0" w:color="auto"/>
        <w:bottom w:val="none" w:sz="0" w:space="0" w:color="auto"/>
        <w:right w:val="none" w:sz="0" w:space="0" w:color="auto"/>
      </w:divBdr>
    </w:div>
    <w:div w:id="6182060">
      <w:bodyDiv w:val="1"/>
      <w:marLeft w:val="0"/>
      <w:marRight w:val="0"/>
      <w:marTop w:val="0"/>
      <w:marBottom w:val="0"/>
      <w:divBdr>
        <w:top w:val="none" w:sz="0" w:space="0" w:color="auto"/>
        <w:left w:val="none" w:sz="0" w:space="0" w:color="auto"/>
        <w:bottom w:val="none" w:sz="0" w:space="0" w:color="auto"/>
        <w:right w:val="none" w:sz="0" w:space="0" w:color="auto"/>
      </w:divBdr>
    </w:div>
    <w:div w:id="7870398">
      <w:bodyDiv w:val="1"/>
      <w:marLeft w:val="0"/>
      <w:marRight w:val="0"/>
      <w:marTop w:val="0"/>
      <w:marBottom w:val="0"/>
      <w:divBdr>
        <w:top w:val="none" w:sz="0" w:space="0" w:color="auto"/>
        <w:left w:val="none" w:sz="0" w:space="0" w:color="auto"/>
        <w:bottom w:val="none" w:sz="0" w:space="0" w:color="auto"/>
        <w:right w:val="none" w:sz="0" w:space="0" w:color="auto"/>
      </w:divBdr>
    </w:div>
    <w:div w:id="10377702">
      <w:bodyDiv w:val="1"/>
      <w:marLeft w:val="0"/>
      <w:marRight w:val="0"/>
      <w:marTop w:val="0"/>
      <w:marBottom w:val="0"/>
      <w:divBdr>
        <w:top w:val="none" w:sz="0" w:space="0" w:color="auto"/>
        <w:left w:val="none" w:sz="0" w:space="0" w:color="auto"/>
        <w:bottom w:val="none" w:sz="0" w:space="0" w:color="auto"/>
        <w:right w:val="none" w:sz="0" w:space="0" w:color="auto"/>
      </w:divBdr>
    </w:div>
    <w:div w:id="11535492">
      <w:bodyDiv w:val="1"/>
      <w:marLeft w:val="0"/>
      <w:marRight w:val="0"/>
      <w:marTop w:val="0"/>
      <w:marBottom w:val="0"/>
      <w:divBdr>
        <w:top w:val="none" w:sz="0" w:space="0" w:color="auto"/>
        <w:left w:val="none" w:sz="0" w:space="0" w:color="auto"/>
        <w:bottom w:val="none" w:sz="0" w:space="0" w:color="auto"/>
        <w:right w:val="none" w:sz="0" w:space="0" w:color="auto"/>
      </w:divBdr>
    </w:div>
    <w:div w:id="12345257">
      <w:bodyDiv w:val="1"/>
      <w:marLeft w:val="0"/>
      <w:marRight w:val="0"/>
      <w:marTop w:val="0"/>
      <w:marBottom w:val="0"/>
      <w:divBdr>
        <w:top w:val="none" w:sz="0" w:space="0" w:color="auto"/>
        <w:left w:val="none" w:sz="0" w:space="0" w:color="auto"/>
        <w:bottom w:val="none" w:sz="0" w:space="0" w:color="auto"/>
        <w:right w:val="none" w:sz="0" w:space="0" w:color="auto"/>
      </w:divBdr>
    </w:div>
    <w:div w:id="22365241">
      <w:bodyDiv w:val="1"/>
      <w:marLeft w:val="0"/>
      <w:marRight w:val="0"/>
      <w:marTop w:val="0"/>
      <w:marBottom w:val="0"/>
      <w:divBdr>
        <w:top w:val="none" w:sz="0" w:space="0" w:color="auto"/>
        <w:left w:val="none" w:sz="0" w:space="0" w:color="auto"/>
        <w:bottom w:val="none" w:sz="0" w:space="0" w:color="auto"/>
        <w:right w:val="none" w:sz="0" w:space="0" w:color="auto"/>
      </w:divBdr>
    </w:div>
    <w:div w:id="30226416">
      <w:bodyDiv w:val="1"/>
      <w:marLeft w:val="0"/>
      <w:marRight w:val="0"/>
      <w:marTop w:val="0"/>
      <w:marBottom w:val="0"/>
      <w:divBdr>
        <w:top w:val="none" w:sz="0" w:space="0" w:color="auto"/>
        <w:left w:val="none" w:sz="0" w:space="0" w:color="auto"/>
        <w:bottom w:val="none" w:sz="0" w:space="0" w:color="auto"/>
        <w:right w:val="none" w:sz="0" w:space="0" w:color="auto"/>
      </w:divBdr>
    </w:div>
    <w:div w:id="38633310">
      <w:bodyDiv w:val="1"/>
      <w:marLeft w:val="0"/>
      <w:marRight w:val="0"/>
      <w:marTop w:val="0"/>
      <w:marBottom w:val="0"/>
      <w:divBdr>
        <w:top w:val="none" w:sz="0" w:space="0" w:color="auto"/>
        <w:left w:val="none" w:sz="0" w:space="0" w:color="auto"/>
        <w:bottom w:val="none" w:sz="0" w:space="0" w:color="auto"/>
        <w:right w:val="none" w:sz="0" w:space="0" w:color="auto"/>
      </w:divBdr>
    </w:div>
    <w:div w:id="45954682">
      <w:bodyDiv w:val="1"/>
      <w:marLeft w:val="0"/>
      <w:marRight w:val="0"/>
      <w:marTop w:val="0"/>
      <w:marBottom w:val="0"/>
      <w:divBdr>
        <w:top w:val="none" w:sz="0" w:space="0" w:color="auto"/>
        <w:left w:val="none" w:sz="0" w:space="0" w:color="auto"/>
        <w:bottom w:val="none" w:sz="0" w:space="0" w:color="auto"/>
        <w:right w:val="none" w:sz="0" w:space="0" w:color="auto"/>
      </w:divBdr>
    </w:div>
    <w:div w:id="50278588">
      <w:bodyDiv w:val="1"/>
      <w:marLeft w:val="0"/>
      <w:marRight w:val="0"/>
      <w:marTop w:val="0"/>
      <w:marBottom w:val="0"/>
      <w:divBdr>
        <w:top w:val="none" w:sz="0" w:space="0" w:color="auto"/>
        <w:left w:val="none" w:sz="0" w:space="0" w:color="auto"/>
        <w:bottom w:val="none" w:sz="0" w:space="0" w:color="auto"/>
        <w:right w:val="none" w:sz="0" w:space="0" w:color="auto"/>
      </w:divBdr>
    </w:div>
    <w:div w:id="50814590">
      <w:bodyDiv w:val="1"/>
      <w:marLeft w:val="0"/>
      <w:marRight w:val="0"/>
      <w:marTop w:val="0"/>
      <w:marBottom w:val="0"/>
      <w:divBdr>
        <w:top w:val="none" w:sz="0" w:space="0" w:color="auto"/>
        <w:left w:val="none" w:sz="0" w:space="0" w:color="auto"/>
        <w:bottom w:val="none" w:sz="0" w:space="0" w:color="auto"/>
        <w:right w:val="none" w:sz="0" w:space="0" w:color="auto"/>
      </w:divBdr>
    </w:div>
    <w:div w:id="57631770">
      <w:bodyDiv w:val="1"/>
      <w:marLeft w:val="0"/>
      <w:marRight w:val="0"/>
      <w:marTop w:val="0"/>
      <w:marBottom w:val="0"/>
      <w:divBdr>
        <w:top w:val="none" w:sz="0" w:space="0" w:color="auto"/>
        <w:left w:val="none" w:sz="0" w:space="0" w:color="auto"/>
        <w:bottom w:val="none" w:sz="0" w:space="0" w:color="auto"/>
        <w:right w:val="none" w:sz="0" w:space="0" w:color="auto"/>
      </w:divBdr>
    </w:div>
    <w:div w:id="58016340">
      <w:bodyDiv w:val="1"/>
      <w:marLeft w:val="0"/>
      <w:marRight w:val="0"/>
      <w:marTop w:val="0"/>
      <w:marBottom w:val="0"/>
      <w:divBdr>
        <w:top w:val="none" w:sz="0" w:space="0" w:color="auto"/>
        <w:left w:val="none" w:sz="0" w:space="0" w:color="auto"/>
        <w:bottom w:val="none" w:sz="0" w:space="0" w:color="auto"/>
        <w:right w:val="none" w:sz="0" w:space="0" w:color="auto"/>
      </w:divBdr>
    </w:div>
    <w:div w:id="59520299">
      <w:bodyDiv w:val="1"/>
      <w:marLeft w:val="0"/>
      <w:marRight w:val="0"/>
      <w:marTop w:val="0"/>
      <w:marBottom w:val="0"/>
      <w:divBdr>
        <w:top w:val="none" w:sz="0" w:space="0" w:color="auto"/>
        <w:left w:val="none" w:sz="0" w:space="0" w:color="auto"/>
        <w:bottom w:val="none" w:sz="0" w:space="0" w:color="auto"/>
        <w:right w:val="none" w:sz="0" w:space="0" w:color="auto"/>
      </w:divBdr>
    </w:div>
    <w:div w:id="60563198">
      <w:bodyDiv w:val="1"/>
      <w:marLeft w:val="0"/>
      <w:marRight w:val="0"/>
      <w:marTop w:val="0"/>
      <w:marBottom w:val="0"/>
      <w:divBdr>
        <w:top w:val="none" w:sz="0" w:space="0" w:color="auto"/>
        <w:left w:val="none" w:sz="0" w:space="0" w:color="auto"/>
        <w:bottom w:val="none" w:sz="0" w:space="0" w:color="auto"/>
        <w:right w:val="none" w:sz="0" w:space="0" w:color="auto"/>
      </w:divBdr>
    </w:div>
    <w:div w:id="60568216">
      <w:bodyDiv w:val="1"/>
      <w:marLeft w:val="0"/>
      <w:marRight w:val="0"/>
      <w:marTop w:val="0"/>
      <w:marBottom w:val="0"/>
      <w:divBdr>
        <w:top w:val="none" w:sz="0" w:space="0" w:color="auto"/>
        <w:left w:val="none" w:sz="0" w:space="0" w:color="auto"/>
        <w:bottom w:val="none" w:sz="0" w:space="0" w:color="auto"/>
        <w:right w:val="none" w:sz="0" w:space="0" w:color="auto"/>
      </w:divBdr>
    </w:div>
    <w:div w:id="82380168">
      <w:bodyDiv w:val="1"/>
      <w:marLeft w:val="0"/>
      <w:marRight w:val="0"/>
      <w:marTop w:val="0"/>
      <w:marBottom w:val="0"/>
      <w:divBdr>
        <w:top w:val="none" w:sz="0" w:space="0" w:color="auto"/>
        <w:left w:val="none" w:sz="0" w:space="0" w:color="auto"/>
        <w:bottom w:val="none" w:sz="0" w:space="0" w:color="auto"/>
        <w:right w:val="none" w:sz="0" w:space="0" w:color="auto"/>
      </w:divBdr>
    </w:div>
    <w:div w:id="93020955">
      <w:bodyDiv w:val="1"/>
      <w:marLeft w:val="0"/>
      <w:marRight w:val="0"/>
      <w:marTop w:val="0"/>
      <w:marBottom w:val="0"/>
      <w:divBdr>
        <w:top w:val="none" w:sz="0" w:space="0" w:color="auto"/>
        <w:left w:val="none" w:sz="0" w:space="0" w:color="auto"/>
        <w:bottom w:val="none" w:sz="0" w:space="0" w:color="auto"/>
        <w:right w:val="none" w:sz="0" w:space="0" w:color="auto"/>
      </w:divBdr>
    </w:div>
    <w:div w:id="96945951">
      <w:bodyDiv w:val="1"/>
      <w:marLeft w:val="0"/>
      <w:marRight w:val="0"/>
      <w:marTop w:val="0"/>
      <w:marBottom w:val="0"/>
      <w:divBdr>
        <w:top w:val="none" w:sz="0" w:space="0" w:color="auto"/>
        <w:left w:val="none" w:sz="0" w:space="0" w:color="auto"/>
        <w:bottom w:val="none" w:sz="0" w:space="0" w:color="auto"/>
        <w:right w:val="none" w:sz="0" w:space="0" w:color="auto"/>
      </w:divBdr>
    </w:div>
    <w:div w:id="109789661">
      <w:bodyDiv w:val="1"/>
      <w:marLeft w:val="0"/>
      <w:marRight w:val="0"/>
      <w:marTop w:val="0"/>
      <w:marBottom w:val="0"/>
      <w:divBdr>
        <w:top w:val="none" w:sz="0" w:space="0" w:color="auto"/>
        <w:left w:val="none" w:sz="0" w:space="0" w:color="auto"/>
        <w:bottom w:val="none" w:sz="0" w:space="0" w:color="auto"/>
        <w:right w:val="none" w:sz="0" w:space="0" w:color="auto"/>
      </w:divBdr>
    </w:div>
    <w:div w:id="111823317">
      <w:bodyDiv w:val="1"/>
      <w:marLeft w:val="0"/>
      <w:marRight w:val="0"/>
      <w:marTop w:val="0"/>
      <w:marBottom w:val="0"/>
      <w:divBdr>
        <w:top w:val="none" w:sz="0" w:space="0" w:color="auto"/>
        <w:left w:val="none" w:sz="0" w:space="0" w:color="auto"/>
        <w:bottom w:val="none" w:sz="0" w:space="0" w:color="auto"/>
        <w:right w:val="none" w:sz="0" w:space="0" w:color="auto"/>
      </w:divBdr>
    </w:div>
    <w:div w:id="115608580">
      <w:bodyDiv w:val="1"/>
      <w:marLeft w:val="0"/>
      <w:marRight w:val="0"/>
      <w:marTop w:val="0"/>
      <w:marBottom w:val="0"/>
      <w:divBdr>
        <w:top w:val="none" w:sz="0" w:space="0" w:color="auto"/>
        <w:left w:val="none" w:sz="0" w:space="0" w:color="auto"/>
        <w:bottom w:val="none" w:sz="0" w:space="0" w:color="auto"/>
        <w:right w:val="none" w:sz="0" w:space="0" w:color="auto"/>
      </w:divBdr>
    </w:div>
    <w:div w:id="128137030">
      <w:bodyDiv w:val="1"/>
      <w:marLeft w:val="0"/>
      <w:marRight w:val="0"/>
      <w:marTop w:val="0"/>
      <w:marBottom w:val="0"/>
      <w:divBdr>
        <w:top w:val="none" w:sz="0" w:space="0" w:color="auto"/>
        <w:left w:val="none" w:sz="0" w:space="0" w:color="auto"/>
        <w:bottom w:val="none" w:sz="0" w:space="0" w:color="auto"/>
        <w:right w:val="none" w:sz="0" w:space="0" w:color="auto"/>
      </w:divBdr>
    </w:div>
    <w:div w:id="130907467">
      <w:bodyDiv w:val="1"/>
      <w:marLeft w:val="0"/>
      <w:marRight w:val="0"/>
      <w:marTop w:val="0"/>
      <w:marBottom w:val="0"/>
      <w:divBdr>
        <w:top w:val="none" w:sz="0" w:space="0" w:color="auto"/>
        <w:left w:val="none" w:sz="0" w:space="0" w:color="auto"/>
        <w:bottom w:val="none" w:sz="0" w:space="0" w:color="auto"/>
        <w:right w:val="none" w:sz="0" w:space="0" w:color="auto"/>
      </w:divBdr>
    </w:div>
    <w:div w:id="134488687">
      <w:bodyDiv w:val="1"/>
      <w:marLeft w:val="0"/>
      <w:marRight w:val="0"/>
      <w:marTop w:val="0"/>
      <w:marBottom w:val="0"/>
      <w:divBdr>
        <w:top w:val="none" w:sz="0" w:space="0" w:color="auto"/>
        <w:left w:val="none" w:sz="0" w:space="0" w:color="auto"/>
        <w:bottom w:val="none" w:sz="0" w:space="0" w:color="auto"/>
        <w:right w:val="none" w:sz="0" w:space="0" w:color="auto"/>
      </w:divBdr>
    </w:div>
    <w:div w:id="135073803">
      <w:bodyDiv w:val="1"/>
      <w:marLeft w:val="0"/>
      <w:marRight w:val="0"/>
      <w:marTop w:val="0"/>
      <w:marBottom w:val="0"/>
      <w:divBdr>
        <w:top w:val="none" w:sz="0" w:space="0" w:color="auto"/>
        <w:left w:val="none" w:sz="0" w:space="0" w:color="auto"/>
        <w:bottom w:val="none" w:sz="0" w:space="0" w:color="auto"/>
        <w:right w:val="none" w:sz="0" w:space="0" w:color="auto"/>
      </w:divBdr>
    </w:div>
    <w:div w:id="143279017">
      <w:bodyDiv w:val="1"/>
      <w:marLeft w:val="0"/>
      <w:marRight w:val="0"/>
      <w:marTop w:val="0"/>
      <w:marBottom w:val="0"/>
      <w:divBdr>
        <w:top w:val="none" w:sz="0" w:space="0" w:color="auto"/>
        <w:left w:val="none" w:sz="0" w:space="0" w:color="auto"/>
        <w:bottom w:val="none" w:sz="0" w:space="0" w:color="auto"/>
        <w:right w:val="none" w:sz="0" w:space="0" w:color="auto"/>
      </w:divBdr>
    </w:div>
    <w:div w:id="146820640">
      <w:bodyDiv w:val="1"/>
      <w:marLeft w:val="0"/>
      <w:marRight w:val="0"/>
      <w:marTop w:val="0"/>
      <w:marBottom w:val="0"/>
      <w:divBdr>
        <w:top w:val="none" w:sz="0" w:space="0" w:color="auto"/>
        <w:left w:val="none" w:sz="0" w:space="0" w:color="auto"/>
        <w:bottom w:val="none" w:sz="0" w:space="0" w:color="auto"/>
        <w:right w:val="none" w:sz="0" w:space="0" w:color="auto"/>
      </w:divBdr>
    </w:div>
    <w:div w:id="147092317">
      <w:bodyDiv w:val="1"/>
      <w:marLeft w:val="0"/>
      <w:marRight w:val="0"/>
      <w:marTop w:val="0"/>
      <w:marBottom w:val="0"/>
      <w:divBdr>
        <w:top w:val="none" w:sz="0" w:space="0" w:color="auto"/>
        <w:left w:val="none" w:sz="0" w:space="0" w:color="auto"/>
        <w:bottom w:val="none" w:sz="0" w:space="0" w:color="auto"/>
        <w:right w:val="none" w:sz="0" w:space="0" w:color="auto"/>
      </w:divBdr>
    </w:div>
    <w:div w:id="155533851">
      <w:bodyDiv w:val="1"/>
      <w:marLeft w:val="0"/>
      <w:marRight w:val="0"/>
      <w:marTop w:val="0"/>
      <w:marBottom w:val="0"/>
      <w:divBdr>
        <w:top w:val="none" w:sz="0" w:space="0" w:color="auto"/>
        <w:left w:val="none" w:sz="0" w:space="0" w:color="auto"/>
        <w:bottom w:val="none" w:sz="0" w:space="0" w:color="auto"/>
        <w:right w:val="none" w:sz="0" w:space="0" w:color="auto"/>
      </w:divBdr>
    </w:div>
    <w:div w:id="155537622">
      <w:bodyDiv w:val="1"/>
      <w:marLeft w:val="0"/>
      <w:marRight w:val="0"/>
      <w:marTop w:val="0"/>
      <w:marBottom w:val="0"/>
      <w:divBdr>
        <w:top w:val="none" w:sz="0" w:space="0" w:color="auto"/>
        <w:left w:val="none" w:sz="0" w:space="0" w:color="auto"/>
        <w:bottom w:val="none" w:sz="0" w:space="0" w:color="auto"/>
        <w:right w:val="none" w:sz="0" w:space="0" w:color="auto"/>
      </w:divBdr>
    </w:div>
    <w:div w:id="156459160">
      <w:bodyDiv w:val="1"/>
      <w:marLeft w:val="0"/>
      <w:marRight w:val="0"/>
      <w:marTop w:val="0"/>
      <w:marBottom w:val="0"/>
      <w:divBdr>
        <w:top w:val="none" w:sz="0" w:space="0" w:color="auto"/>
        <w:left w:val="none" w:sz="0" w:space="0" w:color="auto"/>
        <w:bottom w:val="none" w:sz="0" w:space="0" w:color="auto"/>
        <w:right w:val="none" w:sz="0" w:space="0" w:color="auto"/>
      </w:divBdr>
    </w:div>
    <w:div w:id="159272610">
      <w:bodyDiv w:val="1"/>
      <w:marLeft w:val="0"/>
      <w:marRight w:val="0"/>
      <w:marTop w:val="0"/>
      <w:marBottom w:val="0"/>
      <w:divBdr>
        <w:top w:val="none" w:sz="0" w:space="0" w:color="auto"/>
        <w:left w:val="none" w:sz="0" w:space="0" w:color="auto"/>
        <w:bottom w:val="none" w:sz="0" w:space="0" w:color="auto"/>
        <w:right w:val="none" w:sz="0" w:space="0" w:color="auto"/>
      </w:divBdr>
    </w:div>
    <w:div w:id="161241678">
      <w:bodyDiv w:val="1"/>
      <w:marLeft w:val="0"/>
      <w:marRight w:val="0"/>
      <w:marTop w:val="0"/>
      <w:marBottom w:val="0"/>
      <w:divBdr>
        <w:top w:val="none" w:sz="0" w:space="0" w:color="auto"/>
        <w:left w:val="none" w:sz="0" w:space="0" w:color="auto"/>
        <w:bottom w:val="none" w:sz="0" w:space="0" w:color="auto"/>
        <w:right w:val="none" w:sz="0" w:space="0" w:color="auto"/>
      </w:divBdr>
    </w:div>
    <w:div w:id="161244815">
      <w:bodyDiv w:val="1"/>
      <w:marLeft w:val="0"/>
      <w:marRight w:val="0"/>
      <w:marTop w:val="0"/>
      <w:marBottom w:val="0"/>
      <w:divBdr>
        <w:top w:val="none" w:sz="0" w:space="0" w:color="auto"/>
        <w:left w:val="none" w:sz="0" w:space="0" w:color="auto"/>
        <w:bottom w:val="none" w:sz="0" w:space="0" w:color="auto"/>
        <w:right w:val="none" w:sz="0" w:space="0" w:color="auto"/>
      </w:divBdr>
    </w:div>
    <w:div w:id="174538839">
      <w:bodyDiv w:val="1"/>
      <w:marLeft w:val="0"/>
      <w:marRight w:val="0"/>
      <w:marTop w:val="0"/>
      <w:marBottom w:val="0"/>
      <w:divBdr>
        <w:top w:val="none" w:sz="0" w:space="0" w:color="auto"/>
        <w:left w:val="none" w:sz="0" w:space="0" w:color="auto"/>
        <w:bottom w:val="none" w:sz="0" w:space="0" w:color="auto"/>
        <w:right w:val="none" w:sz="0" w:space="0" w:color="auto"/>
      </w:divBdr>
    </w:div>
    <w:div w:id="178593785">
      <w:bodyDiv w:val="1"/>
      <w:marLeft w:val="0"/>
      <w:marRight w:val="0"/>
      <w:marTop w:val="0"/>
      <w:marBottom w:val="0"/>
      <w:divBdr>
        <w:top w:val="none" w:sz="0" w:space="0" w:color="auto"/>
        <w:left w:val="none" w:sz="0" w:space="0" w:color="auto"/>
        <w:bottom w:val="none" w:sz="0" w:space="0" w:color="auto"/>
        <w:right w:val="none" w:sz="0" w:space="0" w:color="auto"/>
      </w:divBdr>
    </w:div>
    <w:div w:id="188222247">
      <w:bodyDiv w:val="1"/>
      <w:marLeft w:val="0"/>
      <w:marRight w:val="0"/>
      <w:marTop w:val="0"/>
      <w:marBottom w:val="0"/>
      <w:divBdr>
        <w:top w:val="none" w:sz="0" w:space="0" w:color="auto"/>
        <w:left w:val="none" w:sz="0" w:space="0" w:color="auto"/>
        <w:bottom w:val="none" w:sz="0" w:space="0" w:color="auto"/>
        <w:right w:val="none" w:sz="0" w:space="0" w:color="auto"/>
      </w:divBdr>
    </w:div>
    <w:div w:id="196508514">
      <w:bodyDiv w:val="1"/>
      <w:marLeft w:val="0"/>
      <w:marRight w:val="0"/>
      <w:marTop w:val="0"/>
      <w:marBottom w:val="0"/>
      <w:divBdr>
        <w:top w:val="none" w:sz="0" w:space="0" w:color="auto"/>
        <w:left w:val="none" w:sz="0" w:space="0" w:color="auto"/>
        <w:bottom w:val="none" w:sz="0" w:space="0" w:color="auto"/>
        <w:right w:val="none" w:sz="0" w:space="0" w:color="auto"/>
      </w:divBdr>
    </w:div>
    <w:div w:id="199249260">
      <w:bodyDiv w:val="1"/>
      <w:marLeft w:val="0"/>
      <w:marRight w:val="0"/>
      <w:marTop w:val="0"/>
      <w:marBottom w:val="0"/>
      <w:divBdr>
        <w:top w:val="none" w:sz="0" w:space="0" w:color="auto"/>
        <w:left w:val="none" w:sz="0" w:space="0" w:color="auto"/>
        <w:bottom w:val="none" w:sz="0" w:space="0" w:color="auto"/>
        <w:right w:val="none" w:sz="0" w:space="0" w:color="auto"/>
      </w:divBdr>
    </w:div>
    <w:div w:id="203715755">
      <w:bodyDiv w:val="1"/>
      <w:marLeft w:val="0"/>
      <w:marRight w:val="0"/>
      <w:marTop w:val="0"/>
      <w:marBottom w:val="0"/>
      <w:divBdr>
        <w:top w:val="none" w:sz="0" w:space="0" w:color="auto"/>
        <w:left w:val="none" w:sz="0" w:space="0" w:color="auto"/>
        <w:bottom w:val="none" w:sz="0" w:space="0" w:color="auto"/>
        <w:right w:val="none" w:sz="0" w:space="0" w:color="auto"/>
      </w:divBdr>
    </w:div>
    <w:div w:id="207304463">
      <w:bodyDiv w:val="1"/>
      <w:marLeft w:val="0"/>
      <w:marRight w:val="0"/>
      <w:marTop w:val="0"/>
      <w:marBottom w:val="0"/>
      <w:divBdr>
        <w:top w:val="none" w:sz="0" w:space="0" w:color="auto"/>
        <w:left w:val="none" w:sz="0" w:space="0" w:color="auto"/>
        <w:bottom w:val="none" w:sz="0" w:space="0" w:color="auto"/>
        <w:right w:val="none" w:sz="0" w:space="0" w:color="auto"/>
      </w:divBdr>
    </w:div>
    <w:div w:id="208077209">
      <w:bodyDiv w:val="1"/>
      <w:marLeft w:val="0"/>
      <w:marRight w:val="0"/>
      <w:marTop w:val="0"/>
      <w:marBottom w:val="0"/>
      <w:divBdr>
        <w:top w:val="none" w:sz="0" w:space="0" w:color="auto"/>
        <w:left w:val="none" w:sz="0" w:space="0" w:color="auto"/>
        <w:bottom w:val="none" w:sz="0" w:space="0" w:color="auto"/>
        <w:right w:val="none" w:sz="0" w:space="0" w:color="auto"/>
      </w:divBdr>
    </w:div>
    <w:div w:id="209345893">
      <w:bodyDiv w:val="1"/>
      <w:marLeft w:val="0"/>
      <w:marRight w:val="0"/>
      <w:marTop w:val="0"/>
      <w:marBottom w:val="0"/>
      <w:divBdr>
        <w:top w:val="none" w:sz="0" w:space="0" w:color="auto"/>
        <w:left w:val="none" w:sz="0" w:space="0" w:color="auto"/>
        <w:bottom w:val="none" w:sz="0" w:space="0" w:color="auto"/>
        <w:right w:val="none" w:sz="0" w:space="0" w:color="auto"/>
      </w:divBdr>
    </w:div>
    <w:div w:id="211573754">
      <w:bodyDiv w:val="1"/>
      <w:marLeft w:val="0"/>
      <w:marRight w:val="0"/>
      <w:marTop w:val="0"/>
      <w:marBottom w:val="0"/>
      <w:divBdr>
        <w:top w:val="none" w:sz="0" w:space="0" w:color="auto"/>
        <w:left w:val="none" w:sz="0" w:space="0" w:color="auto"/>
        <w:bottom w:val="none" w:sz="0" w:space="0" w:color="auto"/>
        <w:right w:val="none" w:sz="0" w:space="0" w:color="auto"/>
      </w:divBdr>
    </w:div>
    <w:div w:id="231040025">
      <w:bodyDiv w:val="1"/>
      <w:marLeft w:val="0"/>
      <w:marRight w:val="0"/>
      <w:marTop w:val="0"/>
      <w:marBottom w:val="0"/>
      <w:divBdr>
        <w:top w:val="none" w:sz="0" w:space="0" w:color="auto"/>
        <w:left w:val="none" w:sz="0" w:space="0" w:color="auto"/>
        <w:bottom w:val="none" w:sz="0" w:space="0" w:color="auto"/>
        <w:right w:val="none" w:sz="0" w:space="0" w:color="auto"/>
      </w:divBdr>
    </w:div>
    <w:div w:id="234363842">
      <w:bodyDiv w:val="1"/>
      <w:marLeft w:val="0"/>
      <w:marRight w:val="0"/>
      <w:marTop w:val="0"/>
      <w:marBottom w:val="0"/>
      <w:divBdr>
        <w:top w:val="none" w:sz="0" w:space="0" w:color="auto"/>
        <w:left w:val="none" w:sz="0" w:space="0" w:color="auto"/>
        <w:bottom w:val="none" w:sz="0" w:space="0" w:color="auto"/>
        <w:right w:val="none" w:sz="0" w:space="0" w:color="auto"/>
      </w:divBdr>
    </w:div>
    <w:div w:id="238902209">
      <w:bodyDiv w:val="1"/>
      <w:marLeft w:val="0"/>
      <w:marRight w:val="0"/>
      <w:marTop w:val="0"/>
      <w:marBottom w:val="0"/>
      <w:divBdr>
        <w:top w:val="none" w:sz="0" w:space="0" w:color="auto"/>
        <w:left w:val="none" w:sz="0" w:space="0" w:color="auto"/>
        <w:bottom w:val="none" w:sz="0" w:space="0" w:color="auto"/>
        <w:right w:val="none" w:sz="0" w:space="0" w:color="auto"/>
      </w:divBdr>
    </w:div>
    <w:div w:id="242030115">
      <w:bodyDiv w:val="1"/>
      <w:marLeft w:val="0"/>
      <w:marRight w:val="0"/>
      <w:marTop w:val="0"/>
      <w:marBottom w:val="0"/>
      <w:divBdr>
        <w:top w:val="none" w:sz="0" w:space="0" w:color="auto"/>
        <w:left w:val="none" w:sz="0" w:space="0" w:color="auto"/>
        <w:bottom w:val="none" w:sz="0" w:space="0" w:color="auto"/>
        <w:right w:val="none" w:sz="0" w:space="0" w:color="auto"/>
      </w:divBdr>
    </w:div>
    <w:div w:id="245192498">
      <w:bodyDiv w:val="1"/>
      <w:marLeft w:val="0"/>
      <w:marRight w:val="0"/>
      <w:marTop w:val="0"/>
      <w:marBottom w:val="0"/>
      <w:divBdr>
        <w:top w:val="none" w:sz="0" w:space="0" w:color="auto"/>
        <w:left w:val="none" w:sz="0" w:space="0" w:color="auto"/>
        <w:bottom w:val="none" w:sz="0" w:space="0" w:color="auto"/>
        <w:right w:val="none" w:sz="0" w:space="0" w:color="auto"/>
      </w:divBdr>
    </w:div>
    <w:div w:id="249000213">
      <w:bodyDiv w:val="1"/>
      <w:marLeft w:val="0"/>
      <w:marRight w:val="0"/>
      <w:marTop w:val="0"/>
      <w:marBottom w:val="0"/>
      <w:divBdr>
        <w:top w:val="none" w:sz="0" w:space="0" w:color="auto"/>
        <w:left w:val="none" w:sz="0" w:space="0" w:color="auto"/>
        <w:bottom w:val="none" w:sz="0" w:space="0" w:color="auto"/>
        <w:right w:val="none" w:sz="0" w:space="0" w:color="auto"/>
      </w:divBdr>
    </w:div>
    <w:div w:id="257638818">
      <w:bodyDiv w:val="1"/>
      <w:marLeft w:val="0"/>
      <w:marRight w:val="0"/>
      <w:marTop w:val="0"/>
      <w:marBottom w:val="0"/>
      <w:divBdr>
        <w:top w:val="none" w:sz="0" w:space="0" w:color="auto"/>
        <w:left w:val="none" w:sz="0" w:space="0" w:color="auto"/>
        <w:bottom w:val="none" w:sz="0" w:space="0" w:color="auto"/>
        <w:right w:val="none" w:sz="0" w:space="0" w:color="auto"/>
      </w:divBdr>
    </w:div>
    <w:div w:id="259530189">
      <w:bodyDiv w:val="1"/>
      <w:marLeft w:val="0"/>
      <w:marRight w:val="0"/>
      <w:marTop w:val="0"/>
      <w:marBottom w:val="0"/>
      <w:divBdr>
        <w:top w:val="none" w:sz="0" w:space="0" w:color="auto"/>
        <w:left w:val="none" w:sz="0" w:space="0" w:color="auto"/>
        <w:bottom w:val="none" w:sz="0" w:space="0" w:color="auto"/>
        <w:right w:val="none" w:sz="0" w:space="0" w:color="auto"/>
      </w:divBdr>
    </w:div>
    <w:div w:id="259534589">
      <w:bodyDiv w:val="1"/>
      <w:marLeft w:val="0"/>
      <w:marRight w:val="0"/>
      <w:marTop w:val="0"/>
      <w:marBottom w:val="0"/>
      <w:divBdr>
        <w:top w:val="none" w:sz="0" w:space="0" w:color="auto"/>
        <w:left w:val="none" w:sz="0" w:space="0" w:color="auto"/>
        <w:bottom w:val="none" w:sz="0" w:space="0" w:color="auto"/>
        <w:right w:val="none" w:sz="0" w:space="0" w:color="auto"/>
      </w:divBdr>
    </w:div>
    <w:div w:id="261650632">
      <w:bodyDiv w:val="1"/>
      <w:marLeft w:val="0"/>
      <w:marRight w:val="0"/>
      <w:marTop w:val="0"/>
      <w:marBottom w:val="0"/>
      <w:divBdr>
        <w:top w:val="none" w:sz="0" w:space="0" w:color="auto"/>
        <w:left w:val="none" w:sz="0" w:space="0" w:color="auto"/>
        <w:bottom w:val="none" w:sz="0" w:space="0" w:color="auto"/>
        <w:right w:val="none" w:sz="0" w:space="0" w:color="auto"/>
      </w:divBdr>
    </w:div>
    <w:div w:id="262037920">
      <w:bodyDiv w:val="1"/>
      <w:marLeft w:val="0"/>
      <w:marRight w:val="0"/>
      <w:marTop w:val="0"/>
      <w:marBottom w:val="0"/>
      <w:divBdr>
        <w:top w:val="none" w:sz="0" w:space="0" w:color="auto"/>
        <w:left w:val="none" w:sz="0" w:space="0" w:color="auto"/>
        <w:bottom w:val="none" w:sz="0" w:space="0" w:color="auto"/>
        <w:right w:val="none" w:sz="0" w:space="0" w:color="auto"/>
      </w:divBdr>
    </w:div>
    <w:div w:id="263808613">
      <w:bodyDiv w:val="1"/>
      <w:marLeft w:val="0"/>
      <w:marRight w:val="0"/>
      <w:marTop w:val="0"/>
      <w:marBottom w:val="0"/>
      <w:divBdr>
        <w:top w:val="none" w:sz="0" w:space="0" w:color="auto"/>
        <w:left w:val="none" w:sz="0" w:space="0" w:color="auto"/>
        <w:bottom w:val="none" w:sz="0" w:space="0" w:color="auto"/>
        <w:right w:val="none" w:sz="0" w:space="0" w:color="auto"/>
      </w:divBdr>
    </w:div>
    <w:div w:id="268243488">
      <w:bodyDiv w:val="1"/>
      <w:marLeft w:val="0"/>
      <w:marRight w:val="0"/>
      <w:marTop w:val="0"/>
      <w:marBottom w:val="0"/>
      <w:divBdr>
        <w:top w:val="none" w:sz="0" w:space="0" w:color="auto"/>
        <w:left w:val="none" w:sz="0" w:space="0" w:color="auto"/>
        <w:bottom w:val="none" w:sz="0" w:space="0" w:color="auto"/>
        <w:right w:val="none" w:sz="0" w:space="0" w:color="auto"/>
      </w:divBdr>
    </w:div>
    <w:div w:id="272245298">
      <w:bodyDiv w:val="1"/>
      <w:marLeft w:val="0"/>
      <w:marRight w:val="0"/>
      <w:marTop w:val="0"/>
      <w:marBottom w:val="0"/>
      <w:divBdr>
        <w:top w:val="none" w:sz="0" w:space="0" w:color="auto"/>
        <w:left w:val="none" w:sz="0" w:space="0" w:color="auto"/>
        <w:bottom w:val="none" w:sz="0" w:space="0" w:color="auto"/>
        <w:right w:val="none" w:sz="0" w:space="0" w:color="auto"/>
      </w:divBdr>
    </w:div>
    <w:div w:id="273371764">
      <w:bodyDiv w:val="1"/>
      <w:marLeft w:val="0"/>
      <w:marRight w:val="0"/>
      <w:marTop w:val="0"/>
      <w:marBottom w:val="0"/>
      <w:divBdr>
        <w:top w:val="none" w:sz="0" w:space="0" w:color="auto"/>
        <w:left w:val="none" w:sz="0" w:space="0" w:color="auto"/>
        <w:bottom w:val="none" w:sz="0" w:space="0" w:color="auto"/>
        <w:right w:val="none" w:sz="0" w:space="0" w:color="auto"/>
      </w:divBdr>
    </w:div>
    <w:div w:id="275260704">
      <w:bodyDiv w:val="1"/>
      <w:marLeft w:val="0"/>
      <w:marRight w:val="0"/>
      <w:marTop w:val="0"/>
      <w:marBottom w:val="0"/>
      <w:divBdr>
        <w:top w:val="none" w:sz="0" w:space="0" w:color="auto"/>
        <w:left w:val="none" w:sz="0" w:space="0" w:color="auto"/>
        <w:bottom w:val="none" w:sz="0" w:space="0" w:color="auto"/>
        <w:right w:val="none" w:sz="0" w:space="0" w:color="auto"/>
      </w:divBdr>
    </w:div>
    <w:div w:id="279145169">
      <w:bodyDiv w:val="1"/>
      <w:marLeft w:val="0"/>
      <w:marRight w:val="0"/>
      <w:marTop w:val="0"/>
      <w:marBottom w:val="0"/>
      <w:divBdr>
        <w:top w:val="none" w:sz="0" w:space="0" w:color="auto"/>
        <w:left w:val="none" w:sz="0" w:space="0" w:color="auto"/>
        <w:bottom w:val="none" w:sz="0" w:space="0" w:color="auto"/>
        <w:right w:val="none" w:sz="0" w:space="0" w:color="auto"/>
      </w:divBdr>
    </w:div>
    <w:div w:id="279728607">
      <w:bodyDiv w:val="1"/>
      <w:marLeft w:val="0"/>
      <w:marRight w:val="0"/>
      <w:marTop w:val="0"/>
      <w:marBottom w:val="0"/>
      <w:divBdr>
        <w:top w:val="none" w:sz="0" w:space="0" w:color="auto"/>
        <w:left w:val="none" w:sz="0" w:space="0" w:color="auto"/>
        <w:bottom w:val="none" w:sz="0" w:space="0" w:color="auto"/>
        <w:right w:val="none" w:sz="0" w:space="0" w:color="auto"/>
      </w:divBdr>
    </w:div>
    <w:div w:id="280577530">
      <w:bodyDiv w:val="1"/>
      <w:marLeft w:val="0"/>
      <w:marRight w:val="0"/>
      <w:marTop w:val="0"/>
      <w:marBottom w:val="0"/>
      <w:divBdr>
        <w:top w:val="none" w:sz="0" w:space="0" w:color="auto"/>
        <w:left w:val="none" w:sz="0" w:space="0" w:color="auto"/>
        <w:bottom w:val="none" w:sz="0" w:space="0" w:color="auto"/>
        <w:right w:val="none" w:sz="0" w:space="0" w:color="auto"/>
      </w:divBdr>
    </w:div>
    <w:div w:id="291061475">
      <w:bodyDiv w:val="1"/>
      <w:marLeft w:val="0"/>
      <w:marRight w:val="0"/>
      <w:marTop w:val="0"/>
      <w:marBottom w:val="0"/>
      <w:divBdr>
        <w:top w:val="none" w:sz="0" w:space="0" w:color="auto"/>
        <w:left w:val="none" w:sz="0" w:space="0" w:color="auto"/>
        <w:bottom w:val="none" w:sz="0" w:space="0" w:color="auto"/>
        <w:right w:val="none" w:sz="0" w:space="0" w:color="auto"/>
      </w:divBdr>
    </w:div>
    <w:div w:id="291904492">
      <w:bodyDiv w:val="1"/>
      <w:marLeft w:val="0"/>
      <w:marRight w:val="0"/>
      <w:marTop w:val="0"/>
      <w:marBottom w:val="0"/>
      <w:divBdr>
        <w:top w:val="none" w:sz="0" w:space="0" w:color="auto"/>
        <w:left w:val="none" w:sz="0" w:space="0" w:color="auto"/>
        <w:bottom w:val="none" w:sz="0" w:space="0" w:color="auto"/>
        <w:right w:val="none" w:sz="0" w:space="0" w:color="auto"/>
      </w:divBdr>
    </w:div>
    <w:div w:id="308242972">
      <w:bodyDiv w:val="1"/>
      <w:marLeft w:val="0"/>
      <w:marRight w:val="0"/>
      <w:marTop w:val="0"/>
      <w:marBottom w:val="0"/>
      <w:divBdr>
        <w:top w:val="none" w:sz="0" w:space="0" w:color="auto"/>
        <w:left w:val="none" w:sz="0" w:space="0" w:color="auto"/>
        <w:bottom w:val="none" w:sz="0" w:space="0" w:color="auto"/>
        <w:right w:val="none" w:sz="0" w:space="0" w:color="auto"/>
      </w:divBdr>
    </w:div>
    <w:div w:id="314921661">
      <w:bodyDiv w:val="1"/>
      <w:marLeft w:val="0"/>
      <w:marRight w:val="0"/>
      <w:marTop w:val="0"/>
      <w:marBottom w:val="0"/>
      <w:divBdr>
        <w:top w:val="none" w:sz="0" w:space="0" w:color="auto"/>
        <w:left w:val="none" w:sz="0" w:space="0" w:color="auto"/>
        <w:bottom w:val="none" w:sz="0" w:space="0" w:color="auto"/>
        <w:right w:val="none" w:sz="0" w:space="0" w:color="auto"/>
      </w:divBdr>
    </w:div>
    <w:div w:id="315495273">
      <w:bodyDiv w:val="1"/>
      <w:marLeft w:val="0"/>
      <w:marRight w:val="0"/>
      <w:marTop w:val="0"/>
      <w:marBottom w:val="0"/>
      <w:divBdr>
        <w:top w:val="none" w:sz="0" w:space="0" w:color="auto"/>
        <w:left w:val="none" w:sz="0" w:space="0" w:color="auto"/>
        <w:bottom w:val="none" w:sz="0" w:space="0" w:color="auto"/>
        <w:right w:val="none" w:sz="0" w:space="0" w:color="auto"/>
      </w:divBdr>
    </w:div>
    <w:div w:id="317005249">
      <w:bodyDiv w:val="1"/>
      <w:marLeft w:val="0"/>
      <w:marRight w:val="0"/>
      <w:marTop w:val="0"/>
      <w:marBottom w:val="0"/>
      <w:divBdr>
        <w:top w:val="none" w:sz="0" w:space="0" w:color="auto"/>
        <w:left w:val="none" w:sz="0" w:space="0" w:color="auto"/>
        <w:bottom w:val="none" w:sz="0" w:space="0" w:color="auto"/>
        <w:right w:val="none" w:sz="0" w:space="0" w:color="auto"/>
      </w:divBdr>
    </w:div>
    <w:div w:id="322200758">
      <w:bodyDiv w:val="1"/>
      <w:marLeft w:val="0"/>
      <w:marRight w:val="0"/>
      <w:marTop w:val="0"/>
      <w:marBottom w:val="0"/>
      <w:divBdr>
        <w:top w:val="none" w:sz="0" w:space="0" w:color="auto"/>
        <w:left w:val="none" w:sz="0" w:space="0" w:color="auto"/>
        <w:bottom w:val="none" w:sz="0" w:space="0" w:color="auto"/>
        <w:right w:val="none" w:sz="0" w:space="0" w:color="auto"/>
      </w:divBdr>
    </w:div>
    <w:div w:id="323440718">
      <w:bodyDiv w:val="1"/>
      <w:marLeft w:val="0"/>
      <w:marRight w:val="0"/>
      <w:marTop w:val="0"/>
      <w:marBottom w:val="0"/>
      <w:divBdr>
        <w:top w:val="none" w:sz="0" w:space="0" w:color="auto"/>
        <w:left w:val="none" w:sz="0" w:space="0" w:color="auto"/>
        <w:bottom w:val="none" w:sz="0" w:space="0" w:color="auto"/>
        <w:right w:val="none" w:sz="0" w:space="0" w:color="auto"/>
      </w:divBdr>
    </w:div>
    <w:div w:id="326251253">
      <w:bodyDiv w:val="1"/>
      <w:marLeft w:val="0"/>
      <w:marRight w:val="0"/>
      <w:marTop w:val="0"/>
      <w:marBottom w:val="0"/>
      <w:divBdr>
        <w:top w:val="none" w:sz="0" w:space="0" w:color="auto"/>
        <w:left w:val="none" w:sz="0" w:space="0" w:color="auto"/>
        <w:bottom w:val="none" w:sz="0" w:space="0" w:color="auto"/>
        <w:right w:val="none" w:sz="0" w:space="0" w:color="auto"/>
      </w:divBdr>
    </w:div>
    <w:div w:id="338505325">
      <w:bodyDiv w:val="1"/>
      <w:marLeft w:val="0"/>
      <w:marRight w:val="0"/>
      <w:marTop w:val="0"/>
      <w:marBottom w:val="0"/>
      <w:divBdr>
        <w:top w:val="none" w:sz="0" w:space="0" w:color="auto"/>
        <w:left w:val="none" w:sz="0" w:space="0" w:color="auto"/>
        <w:bottom w:val="none" w:sz="0" w:space="0" w:color="auto"/>
        <w:right w:val="none" w:sz="0" w:space="0" w:color="auto"/>
      </w:divBdr>
    </w:div>
    <w:div w:id="344597569">
      <w:bodyDiv w:val="1"/>
      <w:marLeft w:val="0"/>
      <w:marRight w:val="0"/>
      <w:marTop w:val="0"/>
      <w:marBottom w:val="0"/>
      <w:divBdr>
        <w:top w:val="none" w:sz="0" w:space="0" w:color="auto"/>
        <w:left w:val="none" w:sz="0" w:space="0" w:color="auto"/>
        <w:bottom w:val="none" w:sz="0" w:space="0" w:color="auto"/>
        <w:right w:val="none" w:sz="0" w:space="0" w:color="auto"/>
      </w:divBdr>
    </w:div>
    <w:div w:id="347099491">
      <w:bodyDiv w:val="1"/>
      <w:marLeft w:val="0"/>
      <w:marRight w:val="0"/>
      <w:marTop w:val="0"/>
      <w:marBottom w:val="0"/>
      <w:divBdr>
        <w:top w:val="none" w:sz="0" w:space="0" w:color="auto"/>
        <w:left w:val="none" w:sz="0" w:space="0" w:color="auto"/>
        <w:bottom w:val="none" w:sz="0" w:space="0" w:color="auto"/>
        <w:right w:val="none" w:sz="0" w:space="0" w:color="auto"/>
      </w:divBdr>
    </w:div>
    <w:div w:id="349528631">
      <w:bodyDiv w:val="1"/>
      <w:marLeft w:val="0"/>
      <w:marRight w:val="0"/>
      <w:marTop w:val="0"/>
      <w:marBottom w:val="0"/>
      <w:divBdr>
        <w:top w:val="none" w:sz="0" w:space="0" w:color="auto"/>
        <w:left w:val="none" w:sz="0" w:space="0" w:color="auto"/>
        <w:bottom w:val="none" w:sz="0" w:space="0" w:color="auto"/>
        <w:right w:val="none" w:sz="0" w:space="0" w:color="auto"/>
      </w:divBdr>
    </w:div>
    <w:div w:id="351615987">
      <w:bodyDiv w:val="1"/>
      <w:marLeft w:val="0"/>
      <w:marRight w:val="0"/>
      <w:marTop w:val="0"/>
      <w:marBottom w:val="0"/>
      <w:divBdr>
        <w:top w:val="none" w:sz="0" w:space="0" w:color="auto"/>
        <w:left w:val="none" w:sz="0" w:space="0" w:color="auto"/>
        <w:bottom w:val="none" w:sz="0" w:space="0" w:color="auto"/>
        <w:right w:val="none" w:sz="0" w:space="0" w:color="auto"/>
      </w:divBdr>
    </w:div>
    <w:div w:id="356471094">
      <w:bodyDiv w:val="1"/>
      <w:marLeft w:val="0"/>
      <w:marRight w:val="0"/>
      <w:marTop w:val="0"/>
      <w:marBottom w:val="0"/>
      <w:divBdr>
        <w:top w:val="none" w:sz="0" w:space="0" w:color="auto"/>
        <w:left w:val="none" w:sz="0" w:space="0" w:color="auto"/>
        <w:bottom w:val="none" w:sz="0" w:space="0" w:color="auto"/>
        <w:right w:val="none" w:sz="0" w:space="0" w:color="auto"/>
      </w:divBdr>
    </w:div>
    <w:div w:id="357314017">
      <w:bodyDiv w:val="1"/>
      <w:marLeft w:val="0"/>
      <w:marRight w:val="0"/>
      <w:marTop w:val="0"/>
      <w:marBottom w:val="0"/>
      <w:divBdr>
        <w:top w:val="none" w:sz="0" w:space="0" w:color="auto"/>
        <w:left w:val="none" w:sz="0" w:space="0" w:color="auto"/>
        <w:bottom w:val="none" w:sz="0" w:space="0" w:color="auto"/>
        <w:right w:val="none" w:sz="0" w:space="0" w:color="auto"/>
      </w:divBdr>
    </w:div>
    <w:div w:id="357967304">
      <w:bodyDiv w:val="1"/>
      <w:marLeft w:val="0"/>
      <w:marRight w:val="0"/>
      <w:marTop w:val="0"/>
      <w:marBottom w:val="0"/>
      <w:divBdr>
        <w:top w:val="none" w:sz="0" w:space="0" w:color="auto"/>
        <w:left w:val="none" w:sz="0" w:space="0" w:color="auto"/>
        <w:bottom w:val="none" w:sz="0" w:space="0" w:color="auto"/>
        <w:right w:val="none" w:sz="0" w:space="0" w:color="auto"/>
      </w:divBdr>
    </w:div>
    <w:div w:id="358166016">
      <w:bodyDiv w:val="1"/>
      <w:marLeft w:val="0"/>
      <w:marRight w:val="0"/>
      <w:marTop w:val="0"/>
      <w:marBottom w:val="0"/>
      <w:divBdr>
        <w:top w:val="none" w:sz="0" w:space="0" w:color="auto"/>
        <w:left w:val="none" w:sz="0" w:space="0" w:color="auto"/>
        <w:bottom w:val="none" w:sz="0" w:space="0" w:color="auto"/>
        <w:right w:val="none" w:sz="0" w:space="0" w:color="auto"/>
      </w:divBdr>
    </w:div>
    <w:div w:id="361395834">
      <w:bodyDiv w:val="1"/>
      <w:marLeft w:val="0"/>
      <w:marRight w:val="0"/>
      <w:marTop w:val="0"/>
      <w:marBottom w:val="0"/>
      <w:divBdr>
        <w:top w:val="none" w:sz="0" w:space="0" w:color="auto"/>
        <w:left w:val="none" w:sz="0" w:space="0" w:color="auto"/>
        <w:bottom w:val="none" w:sz="0" w:space="0" w:color="auto"/>
        <w:right w:val="none" w:sz="0" w:space="0" w:color="auto"/>
      </w:divBdr>
    </w:div>
    <w:div w:id="371342276">
      <w:bodyDiv w:val="1"/>
      <w:marLeft w:val="0"/>
      <w:marRight w:val="0"/>
      <w:marTop w:val="0"/>
      <w:marBottom w:val="0"/>
      <w:divBdr>
        <w:top w:val="none" w:sz="0" w:space="0" w:color="auto"/>
        <w:left w:val="none" w:sz="0" w:space="0" w:color="auto"/>
        <w:bottom w:val="none" w:sz="0" w:space="0" w:color="auto"/>
        <w:right w:val="none" w:sz="0" w:space="0" w:color="auto"/>
      </w:divBdr>
    </w:div>
    <w:div w:id="376971776">
      <w:bodyDiv w:val="1"/>
      <w:marLeft w:val="0"/>
      <w:marRight w:val="0"/>
      <w:marTop w:val="0"/>
      <w:marBottom w:val="0"/>
      <w:divBdr>
        <w:top w:val="none" w:sz="0" w:space="0" w:color="auto"/>
        <w:left w:val="none" w:sz="0" w:space="0" w:color="auto"/>
        <w:bottom w:val="none" w:sz="0" w:space="0" w:color="auto"/>
        <w:right w:val="none" w:sz="0" w:space="0" w:color="auto"/>
      </w:divBdr>
    </w:div>
    <w:div w:id="378363992">
      <w:bodyDiv w:val="1"/>
      <w:marLeft w:val="0"/>
      <w:marRight w:val="0"/>
      <w:marTop w:val="0"/>
      <w:marBottom w:val="0"/>
      <w:divBdr>
        <w:top w:val="none" w:sz="0" w:space="0" w:color="auto"/>
        <w:left w:val="none" w:sz="0" w:space="0" w:color="auto"/>
        <w:bottom w:val="none" w:sz="0" w:space="0" w:color="auto"/>
        <w:right w:val="none" w:sz="0" w:space="0" w:color="auto"/>
      </w:divBdr>
    </w:div>
    <w:div w:id="380792049">
      <w:bodyDiv w:val="1"/>
      <w:marLeft w:val="0"/>
      <w:marRight w:val="0"/>
      <w:marTop w:val="0"/>
      <w:marBottom w:val="0"/>
      <w:divBdr>
        <w:top w:val="none" w:sz="0" w:space="0" w:color="auto"/>
        <w:left w:val="none" w:sz="0" w:space="0" w:color="auto"/>
        <w:bottom w:val="none" w:sz="0" w:space="0" w:color="auto"/>
        <w:right w:val="none" w:sz="0" w:space="0" w:color="auto"/>
      </w:divBdr>
    </w:div>
    <w:div w:id="381440117">
      <w:bodyDiv w:val="1"/>
      <w:marLeft w:val="0"/>
      <w:marRight w:val="0"/>
      <w:marTop w:val="0"/>
      <w:marBottom w:val="0"/>
      <w:divBdr>
        <w:top w:val="none" w:sz="0" w:space="0" w:color="auto"/>
        <w:left w:val="none" w:sz="0" w:space="0" w:color="auto"/>
        <w:bottom w:val="none" w:sz="0" w:space="0" w:color="auto"/>
        <w:right w:val="none" w:sz="0" w:space="0" w:color="auto"/>
      </w:divBdr>
    </w:div>
    <w:div w:id="382412057">
      <w:bodyDiv w:val="1"/>
      <w:marLeft w:val="0"/>
      <w:marRight w:val="0"/>
      <w:marTop w:val="0"/>
      <w:marBottom w:val="0"/>
      <w:divBdr>
        <w:top w:val="none" w:sz="0" w:space="0" w:color="auto"/>
        <w:left w:val="none" w:sz="0" w:space="0" w:color="auto"/>
        <w:bottom w:val="none" w:sz="0" w:space="0" w:color="auto"/>
        <w:right w:val="none" w:sz="0" w:space="0" w:color="auto"/>
      </w:divBdr>
    </w:div>
    <w:div w:id="391080379">
      <w:bodyDiv w:val="1"/>
      <w:marLeft w:val="0"/>
      <w:marRight w:val="0"/>
      <w:marTop w:val="0"/>
      <w:marBottom w:val="0"/>
      <w:divBdr>
        <w:top w:val="none" w:sz="0" w:space="0" w:color="auto"/>
        <w:left w:val="none" w:sz="0" w:space="0" w:color="auto"/>
        <w:bottom w:val="none" w:sz="0" w:space="0" w:color="auto"/>
        <w:right w:val="none" w:sz="0" w:space="0" w:color="auto"/>
      </w:divBdr>
    </w:div>
    <w:div w:id="391973608">
      <w:bodyDiv w:val="1"/>
      <w:marLeft w:val="0"/>
      <w:marRight w:val="0"/>
      <w:marTop w:val="0"/>
      <w:marBottom w:val="0"/>
      <w:divBdr>
        <w:top w:val="none" w:sz="0" w:space="0" w:color="auto"/>
        <w:left w:val="none" w:sz="0" w:space="0" w:color="auto"/>
        <w:bottom w:val="none" w:sz="0" w:space="0" w:color="auto"/>
        <w:right w:val="none" w:sz="0" w:space="0" w:color="auto"/>
      </w:divBdr>
    </w:div>
    <w:div w:id="394280872">
      <w:bodyDiv w:val="1"/>
      <w:marLeft w:val="0"/>
      <w:marRight w:val="0"/>
      <w:marTop w:val="0"/>
      <w:marBottom w:val="0"/>
      <w:divBdr>
        <w:top w:val="none" w:sz="0" w:space="0" w:color="auto"/>
        <w:left w:val="none" w:sz="0" w:space="0" w:color="auto"/>
        <w:bottom w:val="none" w:sz="0" w:space="0" w:color="auto"/>
        <w:right w:val="none" w:sz="0" w:space="0" w:color="auto"/>
      </w:divBdr>
    </w:div>
    <w:div w:id="397945051">
      <w:bodyDiv w:val="1"/>
      <w:marLeft w:val="0"/>
      <w:marRight w:val="0"/>
      <w:marTop w:val="0"/>
      <w:marBottom w:val="0"/>
      <w:divBdr>
        <w:top w:val="none" w:sz="0" w:space="0" w:color="auto"/>
        <w:left w:val="none" w:sz="0" w:space="0" w:color="auto"/>
        <w:bottom w:val="none" w:sz="0" w:space="0" w:color="auto"/>
        <w:right w:val="none" w:sz="0" w:space="0" w:color="auto"/>
      </w:divBdr>
    </w:div>
    <w:div w:id="400911132">
      <w:bodyDiv w:val="1"/>
      <w:marLeft w:val="0"/>
      <w:marRight w:val="0"/>
      <w:marTop w:val="0"/>
      <w:marBottom w:val="0"/>
      <w:divBdr>
        <w:top w:val="none" w:sz="0" w:space="0" w:color="auto"/>
        <w:left w:val="none" w:sz="0" w:space="0" w:color="auto"/>
        <w:bottom w:val="none" w:sz="0" w:space="0" w:color="auto"/>
        <w:right w:val="none" w:sz="0" w:space="0" w:color="auto"/>
      </w:divBdr>
    </w:div>
    <w:div w:id="403917485">
      <w:bodyDiv w:val="1"/>
      <w:marLeft w:val="0"/>
      <w:marRight w:val="0"/>
      <w:marTop w:val="0"/>
      <w:marBottom w:val="0"/>
      <w:divBdr>
        <w:top w:val="none" w:sz="0" w:space="0" w:color="auto"/>
        <w:left w:val="none" w:sz="0" w:space="0" w:color="auto"/>
        <w:bottom w:val="none" w:sz="0" w:space="0" w:color="auto"/>
        <w:right w:val="none" w:sz="0" w:space="0" w:color="auto"/>
      </w:divBdr>
    </w:div>
    <w:div w:id="405147914">
      <w:bodyDiv w:val="1"/>
      <w:marLeft w:val="0"/>
      <w:marRight w:val="0"/>
      <w:marTop w:val="0"/>
      <w:marBottom w:val="0"/>
      <w:divBdr>
        <w:top w:val="none" w:sz="0" w:space="0" w:color="auto"/>
        <w:left w:val="none" w:sz="0" w:space="0" w:color="auto"/>
        <w:bottom w:val="none" w:sz="0" w:space="0" w:color="auto"/>
        <w:right w:val="none" w:sz="0" w:space="0" w:color="auto"/>
      </w:divBdr>
    </w:div>
    <w:div w:id="405802485">
      <w:bodyDiv w:val="1"/>
      <w:marLeft w:val="0"/>
      <w:marRight w:val="0"/>
      <w:marTop w:val="0"/>
      <w:marBottom w:val="0"/>
      <w:divBdr>
        <w:top w:val="none" w:sz="0" w:space="0" w:color="auto"/>
        <w:left w:val="none" w:sz="0" w:space="0" w:color="auto"/>
        <w:bottom w:val="none" w:sz="0" w:space="0" w:color="auto"/>
        <w:right w:val="none" w:sz="0" w:space="0" w:color="auto"/>
      </w:divBdr>
    </w:div>
    <w:div w:id="407768041">
      <w:bodyDiv w:val="1"/>
      <w:marLeft w:val="0"/>
      <w:marRight w:val="0"/>
      <w:marTop w:val="0"/>
      <w:marBottom w:val="0"/>
      <w:divBdr>
        <w:top w:val="none" w:sz="0" w:space="0" w:color="auto"/>
        <w:left w:val="none" w:sz="0" w:space="0" w:color="auto"/>
        <w:bottom w:val="none" w:sz="0" w:space="0" w:color="auto"/>
        <w:right w:val="none" w:sz="0" w:space="0" w:color="auto"/>
      </w:divBdr>
    </w:div>
    <w:div w:id="413431599">
      <w:bodyDiv w:val="1"/>
      <w:marLeft w:val="0"/>
      <w:marRight w:val="0"/>
      <w:marTop w:val="0"/>
      <w:marBottom w:val="0"/>
      <w:divBdr>
        <w:top w:val="none" w:sz="0" w:space="0" w:color="auto"/>
        <w:left w:val="none" w:sz="0" w:space="0" w:color="auto"/>
        <w:bottom w:val="none" w:sz="0" w:space="0" w:color="auto"/>
        <w:right w:val="none" w:sz="0" w:space="0" w:color="auto"/>
      </w:divBdr>
    </w:div>
    <w:div w:id="417944236">
      <w:bodyDiv w:val="1"/>
      <w:marLeft w:val="0"/>
      <w:marRight w:val="0"/>
      <w:marTop w:val="0"/>
      <w:marBottom w:val="0"/>
      <w:divBdr>
        <w:top w:val="none" w:sz="0" w:space="0" w:color="auto"/>
        <w:left w:val="none" w:sz="0" w:space="0" w:color="auto"/>
        <w:bottom w:val="none" w:sz="0" w:space="0" w:color="auto"/>
        <w:right w:val="none" w:sz="0" w:space="0" w:color="auto"/>
      </w:divBdr>
    </w:div>
    <w:div w:id="431635052">
      <w:bodyDiv w:val="1"/>
      <w:marLeft w:val="0"/>
      <w:marRight w:val="0"/>
      <w:marTop w:val="0"/>
      <w:marBottom w:val="0"/>
      <w:divBdr>
        <w:top w:val="none" w:sz="0" w:space="0" w:color="auto"/>
        <w:left w:val="none" w:sz="0" w:space="0" w:color="auto"/>
        <w:bottom w:val="none" w:sz="0" w:space="0" w:color="auto"/>
        <w:right w:val="none" w:sz="0" w:space="0" w:color="auto"/>
      </w:divBdr>
    </w:div>
    <w:div w:id="441851097">
      <w:bodyDiv w:val="1"/>
      <w:marLeft w:val="0"/>
      <w:marRight w:val="0"/>
      <w:marTop w:val="0"/>
      <w:marBottom w:val="0"/>
      <w:divBdr>
        <w:top w:val="none" w:sz="0" w:space="0" w:color="auto"/>
        <w:left w:val="none" w:sz="0" w:space="0" w:color="auto"/>
        <w:bottom w:val="none" w:sz="0" w:space="0" w:color="auto"/>
        <w:right w:val="none" w:sz="0" w:space="0" w:color="auto"/>
      </w:divBdr>
    </w:div>
    <w:div w:id="443693114">
      <w:bodyDiv w:val="1"/>
      <w:marLeft w:val="0"/>
      <w:marRight w:val="0"/>
      <w:marTop w:val="0"/>
      <w:marBottom w:val="0"/>
      <w:divBdr>
        <w:top w:val="none" w:sz="0" w:space="0" w:color="auto"/>
        <w:left w:val="none" w:sz="0" w:space="0" w:color="auto"/>
        <w:bottom w:val="none" w:sz="0" w:space="0" w:color="auto"/>
        <w:right w:val="none" w:sz="0" w:space="0" w:color="auto"/>
      </w:divBdr>
    </w:div>
    <w:div w:id="447243838">
      <w:bodyDiv w:val="1"/>
      <w:marLeft w:val="0"/>
      <w:marRight w:val="0"/>
      <w:marTop w:val="0"/>
      <w:marBottom w:val="0"/>
      <w:divBdr>
        <w:top w:val="none" w:sz="0" w:space="0" w:color="auto"/>
        <w:left w:val="none" w:sz="0" w:space="0" w:color="auto"/>
        <w:bottom w:val="none" w:sz="0" w:space="0" w:color="auto"/>
        <w:right w:val="none" w:sz="0" w:space="0" w:color="auto"/>
      </w:divBdr>
    </w:div>
    <w:div w:id="450248604">
      <w:bodyDiv w:val="1"/>
      <w:marLeft w:val="0"/>
      <w:marRight w:val="0"/>
      <w:marTop w:val="0"/>
      <w:marBottom w:val="0"/>
      <w:divBdr>
        <w:top w:val="none" w:sz="0" w:space="0" w:color="auto"/>
        <w:left w:val="none" w:sz="0" w:space="0" w:color="auto"/>
        <w:bottom w:val="none" w:sz="0" w:space="0" w:color="auto"/>
        <w:right w:val="none" w:sz="0" w:space="0" w:color="auto"/>
      </w:divBdr>
    </w:div>
    <w:div w:id="454102279">
      <w:bodyDiv w:val="1"/>
      <w:marLeft w:val="0"/>
      <w:marRight w:val="0"/>
      <w:marTop w:val="0"/>
      <w:marBottom w:val="0"/>
      <w:divBdr>
        <w:top w:val="none" w:sz="0" w:space="0" w:color="auto"/>
        <w:left w:val="none" w:sz="0" w:space="0" w:color="auto"/>
        <w:bottom w:val="none" w:sz="0" w:space="0" w:color="auto"/>
        <w:right w:val="none" w:sz="0" w:space="0" w:color="auto"/>
      </w:divBdr>
    </w:div>
    <w:div w:id="454568941">
      <w:bodyDiv w:val="1"/>
      <w:marLeft w:val="0"/>
      <w:marRight w:val="0"/>
      <w:marTop w:val="0"/>
      <w:marBottom w:val="0"/>
      <w:divBdr>
        <w:top w:val="none" w:sz="0" w:space="0" w:color="auto"/>
        <w:left w:val="none" w:sz="0" w:space="0" w:color="auto"/>
        <w:bottom w:val="none" w:sz="0" w:space="0" w:color="auto"/>
        <w:right w:val="none" w:sz="0" w:space="0" w:color="auto"/>
      </w:divBdr>
    </w:div>
    <w:div w:id="455755388">
      <w:bodyDiv w:val="1"/>
      <w:marLeft w:val="0"/>
      <w:marRight w:val="0"/>
      <w:marTop w:val="0"/>
      <w:marBottom w:val="0"/>
      <w:divBdr>
        <w:top w:val="none" w:sz="0" w:space="0" w:color="auto"/>
        <w:left w:val="none" w:sz="0" w:space="0" w:color="auto"/>
        <w:bottom w:val="none" w:sz="0" w:space="0" w:color="auto"/>
        <w:right w:val="none" w:sz="0" w:space="0" w:color="auto"/>
      </w:divBdr>
    </w:div>
    <w:div w:id="459763214">
      <w:bodyDiv w:val="1"/>
      <w:marLeft w:val="0"/>
      <w:marRight w:val="0"/>
      <w:marTop w:val="0"/>
      <w:marBottom w:val="0"/>
      <w:divBdr>
        <w:top w:val="none" w:sz="0" w:space="0" w:color="auto"/>
        <w:left w:val="none" w:sz="0" w:space="0" w:color="auto"/>
        <w:bottom w:val="none" w:sz="0" w:space="0" w:color="auto"/>
        <w:right w:val="none" w:sz="0" w:space="0" w:color="auto"/>
      </w:divBdr>
    </w:div>
    <w:div w:id="461311997">
      <w:bodyDiv w:val="1"/>
      <w:marLeft w:val="0"/>
      <w:marRight w:val="0"/>
      <w:marTop w:val="0"/>
      <w:marBottom w:val="0"/>
      <w:divBdr>
        <w:top w:val="none" w:sz="0" w:space="0" w:color="auto"/>
        <w:left w:val="none" w:sz="0" w:space="0" w:color="auto"/>
        <w:bottom w:val="none" w:sz="0" w:space="0" w:color="auto"/>
        <w:right w:val="none" w:sz="0" w:space="0" w:color="auto"/>
      </w:divBdr>
    </w:div>
    <w:div w:id="473373853">
      <w:bodyDiv w:val="1"/>
      <w:marLeft w:val="0"/>
      <w:marRight w:val="0"/>
      <w:marTop w:val="0"/>
      <w:marBottom w:val="0"/>
      <w:divBdr>
        <w:top w:val="none" w:sz="0" w:space="0" w:color="auto"/>
        <w:left w:val="none" w:sz="0" w:space="0" w:color="auto"/>
        <w:bottom w:val="none" w:sz="0" w:space="0" w:color="auto"/>
        <w:right w:val="none" w:sz="0" w:space="0" w:color="auto"/>
      </w:divBdr>
    </w:div>
    <w:div w:id="474109631">
      <w:bodyDiv w:val="1"/>
      <w:marLeft w:val="0"/>
      <w:marRight w:val="0"/>
      <w:marTop w:val="0"/>
      <w:marBottom w:val="0"/>
      <w:divBdr>
        <w:top w:val="none" w:sz="0" w:space="0" w:color="auto"/>
        <w:left w:val="none" w:sz="0" w:space="0" w:color="auto"/>
        <w:bottom w:val="none" w:sz="0" w:space="0" w:color="auto"/>
        <w:right w:val="none" w:sz="0" w:space="0" w:color="auto"/>
      </w:divBdr>
    </w:div>
    <w:div w:id="485634749">
      <w:bodyDiv w:val="1"/>
      <w:marLeft w:val="0"/>
      <w:marRight w:val="0"/>
      <w:marTop w:val="0"/>
      <w:marBottom w:val="0"/>
      <w:divBdr>
        <w:top w:val="none" w:sz="0" w:space="0" w:color="auto"/>
        <w:left w:val="none" w:sz="0" w:space="0" w:color="auto"/>
        <w:bottom w:val="none" w:sz="0" w:space="0" w:color="auto"/>
        <w:right w:val="none" w:sz="0" w:space="0" w:color="auto"/>
      </w:divBdr>
    </w:div>
    <w:div w:id="485780008">
      <w:bodyDiv w:val="1"/>
      <w:marLeft w:val="0"/>
      <w:marRight w:val="0"/>
      <w:marTop w:val="0"/>
      <w:marBottom w:val="0"/>
      <w:divBdr>
        <w:top w:val="none" w:sz="0" w:space="0" w:color="auto"/>
        <w:left w:val="none" w:sz="0" w:space="0" w:color="auto"/>
        <w:bottom w:val="none" w:sz="0" w:space="0" w:color="auto"/>
        <w:right w:val="none" w:sz="0" w:space="0" w:color="auto"/>
      </w:divBdr>
    </w:div>
    <w:div w:id="490605492">
      <w:bodyDiv w:val="1"/>
      <w:marLeft w:val="0"/>
      <w:marRight w:val="0"/>
      <w:marTop w:val="0"/>
      <w:marBottom w:val="0"/>
      <w:divBdr>
        <w:top w:val="none" w:sz="0" w:space="0" w:color="auto"/>
        <w:left w:val="none" w:sz="0" w:space="0" w:color="auto"/>
        <w:bottom w:val="none" w:sz="0" w:space="0" w:color="auto"/>
        <w:right w:val="none" w:sz="0" w:space="0" w:color="auto"/>
      </w:divBdr>
    </w:div>
    <w:div w:id="504587340">
      <w:bodyDiv w:val="1"/>
      <w:marLeft w:val="0"/>
      <w:marRight w:val="0"/>
      <w:marTop w:val="0"/>
      <w:marBottom w:val="0"/>
      <w:divBdr>
        <w:top w:val="none" w:sz="0" w:space="0" w:color="auto"/>
        <w:left w:val="none" w:sz="0" w:space="0" w:color="auto"/>
        <w:bottom w:val="none" w:sz="0" w:space="0" w:color="auto"/>
        <w:right w:val="none" w:sz="0" w:space="0" w:color="auto"/>
      </w:divBdr>
    </w:div>
    <w:div w:id="509023997">
      <w:bodyDiv w:val="1"/>
      <w:marLeft w:val="0"/>
      <w:marRight w:val="0"/>
      <w:marTop w:val="0"/>
      <w:marBottom w:val="0"/>
      <w:divBdr>
        <w:top w:val="none" w:sz="0" w:space="0" w:color="auto"/>
        <w:left w:val="none" w:sz="0" w:space="0" w:color="auto"/>
        <w:bottom w:val="none" w:sz="0" w:space="0" w:color="auto"/>
        <w:right w:val="none" w:sz="0" w:space="0" w:color="auto"/>
      </w:divBdr>
    </w:div>
    <w:div w:id="516041103">
      <w:bodyDiv w:val="1"/>
      <w:marLeft w:val="0"/>
      <w:marRight w:val="0"/>
      <w:marTop w:val="0"/>
      <w:marBottom w:val="0"/>
      <w:divBdr>
        <w:top w:val="none" w:sz="0" w:space="0" w:color="auto"/>
        <w:left w:val="none" w:sz="0" w:space="0" w:color="auto"/>
        <w:bottom w:val="none" w:sz="0" w:space="0" w:color="auto"/>
        <w:right w:val="none" w:sz="0" w:space="0" w:color="auto"/>
      </w:divBdr>
    </w:div>
    <w:div w:id="518080119">
      <w:bodyDiv w:val="1"/>
      <w:marLeft w:val="0"/>
      <w:marRight w:val="0"/>
      <w:marTop w:val="0"/>
      <w:marBottom w:val="0"/>
      <w:divBdr>
        <w:top w:val="none" w:sz="0" w:space="0" w:color="auto"/>
        <w:left w:val="none" w:sz="0" w:space="0" w:color="auto"/>
        <w:bottom w:val="none" w:sz="0" w:space="0" w:color="auto"/>
        <w:right w:val="none" w:sz="0" w:space="0" w:color="auto"/>
      </w:divBdr>
    </w:div>
    <w:div w:id="524683971">
      <w:bodyDiv w:val="1"/>
      <w:marLeft w:val="0"/>
      <w:marRight w:val="0"/>
      <w:marTop w:val="0"/>
      <w:marBottom w:val="0"/>
      <w:divBdr>
        <w:top w:val="none" w:sz="0" w:space="0" w:color="auto"/>
        <w:left w:val="none" w:sz="0" w:space="0" w:color="auto"/>
        <w:bottom w:val="none" w:sz="0" w:space="0" w:color="auto"/>
        <w:right w:val="none" w:sz="0" w:space="0" w:color="auto"/>
      </w:divBdr>
    </w:div>
    <w:div w:id="528295246">
      <w:bodyDiv w:val="1"/>
      <w:marLeft w:val="0"/>
      <w:marRight w:val="0"/>
      <w:marTop w:val="0"/>
      <w:marBottom w:val="0"/>
      <w:divBdr>
        <w:top w:val="none" w:sz="0" w:space="0" w:color="auto"/>
        <w:left w:val="none" w:sz="0" w:space="0" w:color="auto"/>
        <w:bottom w:val="none" w:sz="0" w:space="0" w:color="auto"/>
        <w:right w:val="none" w:sz="0" w:space="0" w:color="auto"/>
      </w:divBdr>
    </w:div>
    <w:div w:id="534466371">
      <w:bodyDiv w:val="1"/>
      <w:marLeft w:val="0"/>
      <w:marRight w:val="0"/>
      <w:marTop w:val="0"/>
      <w:marBottom w:val="0"/>
      <w:divBdr>
        <w:top w:val="none" w:sz="0" w:space="0" w:color="auto"/>
        <w:left w:val="none" w:sz="0" w:space="0" w:color="auto"/>
        <w:bottom w:val="none" w:sz="0" w:space="0" w:color="auto"/>
        <w:right w:val="none" w:sz="0" w:space="0" w:color="auto"/>
      </w:divBdr>
    </w:div>
    <w:div w:id="534734016">
      <w:bodyDiv w:val="1"/>
      <w:marLeft w:val="0"/>
      <w:marRight w:val="0"/>
      <w:marTop w:val="0"/>
      <w:marBottom w:val="0"/>
      <w:divBdr>
        <w:top w:val="none" w:sz="0" w:space="0" w:color="auto"/>
        <w:left w:val="none" w:sz="0" w:space="0" w:color="auto"/>
        <w:bottom w:val="none" w:sz="0" w:space="0" w:color="auto"/>
        <w:right w:val="none" w:sz="0" w:space="0" w:color="auto"/>
      </w:divBdr>
    </w:div>
    <w:div w:id="539325510">
      <w:bodyDiv w:val="1"/>
      <w:marLeft w:val="0"/>
      <w:marRight w:val="0"/>
      <w:marTop w:val="0"/>
      <w:marBottom w:val="0"/>
      <w:divBdr>
        <w:top w:val="none" w:sz="0" w:space="0" w:color="auto"/>
        <w:left w:val="none" w:sz="0" w:space="0" w:color="auto"/>
        <w:bottom w:val="none" w:sz="0" w:space="0" w:color="auto"/>
        <w:right w:val="none" w:sz="0" w:space="0" w:color="auto"/>
      </w:divBdr>
    </w:div>
    <w:div w:id="545221179">
      <w:bodyDiv w:val="1"/>
      <w:marLeft w:val="0"/>
      <w:marRight w:val="0"/>
      <w:marTop w:val="0"/>
      <w:marBottom w:val="0"/>
      <w:divBdr>
        <w:top w:val="none" w:sz="0" w:space="0" w:color="auto"/>
        <w:left w:val="none" w:sz="0" w:space="0" w:color="auto"/>
        <w:bottom w:val="none" w:sz="0" w:space="0" w:color="auto"/>
        <w:right w:val="none" w:sz="0" w:space="0" w:color="auto"/>
      </w:divBdr>
    </w:div>
    <w:div w:id="548958245">
      <w:bodyDiv w:val="1"/>
      <w:marLeft w:val="0"/>
      <w:marRight w:val="0"/>
      <w:marTop w:val="0"/>
      <w:marBottom w:val="0"/>
      <w:divBdr>
        <w:top w:val="none" w:sz="0" w:space="0" w:color="auto"/>
        <w:left w:val="none" w:sz="0" w:space="0" w:color="auto"/>
        <w:bottom w:val="none" w:sz="0" w:space="0" w:color="auto"/>
        <w:right w:val="none" w:sz="0" w:space="0" w:color="auto"/>
      </w:divBdr>
    </w:div>
    <w:div w:id="552350112">
      <w:bodyDiv w:val="1"/>
      <w:marLeft w:val="0"/>
      <w:marRight w:val="0"/>
      <w:marTop w:val="0"/>
      <w:marBottom w:val="0"/>
      <w:divBdr>
        <w:top w:val="none" w:sz="0" w:space="0" w:color="auto"/>
        <w:left w:val="none" w:sz="0" w:space="0" w:color="auto"/>
        <w:bottom w:val="none" w:sz="0" w:space="0" w:color="auto"/>
        <w:right w:val="none" w:sz="0" w:space="0" w:color="auto"/>
      </w:divBdr>
    </w:div>
    <w:div w:id="554783448">
      <w:bodyDiv w:val="1"/>
      <w:marLeft w:val="0"/>
      <w:marRight w:val="0"/>
      <w:marTop w:val="0"/>
      <w:marBottom w:val="0"/>
      <w:divBdr>
        <w:top w:val="none" w:sz="0" w:space="0" w:color="auto"/>
        <w:left w:val="none" w:sz="0" w:space="0" w:color="auto"/>
        <w:bottom w:val="none" w:sz="0" w:space="0" w:color="auto"/>
        <w:right w:val="none" w:sz="0" w:space="0" w:color="auto"/>
      </w:divBdr>
    </w:div>
    <w:div w:id="559480947">
      <w:bodyDiv w:val="1"/>
      <w:marLeft w:val="0"/>
      <w:marRight w:val="0"/>
      <w:marTop w:val="0"/>
      <w:marBottom w:val="0"/>
      <w:divBdr>
        <w:top w:val="none" w:sz="0" w:space="0" w:color="auto"/>
        <w:left w:val="none" w:sz="0" w:space="0" w:color="auto"/>
        <w:bottom w:val="none" w:sz="0" w:space="0" w:color="auto"/>
        <w:right w:val="none" w:sz="0" w:space="0" w:color="auto"/>
      </w:divBdr>
    </w:div>
    <w:div w:id="560092445">
      <w:bodyDiv w:val="1"/>
      <w:marLeft w:val="0"/>
      <w:marRight w:val="0"/>
      <w:marTop w:val="0"/>
      <w:marBottom w:val="0"/>
      <w:divBdr>
        <w:top w:val="none" w:sz="0" w:space="0" w:color="auto"/>
        <w:left w:val="none" w:sz="0" w:space="0" w:color="auto"/>
        <w:bottom w:val="none" w:sz="0" w:space="0" w:color="auto"/>
        <w:right w:val="none" w:sz="0" w:space="0" w:color="auto"/>
      </w:divBdr>
    </w:div>
    <w:div w:id="560363368">
      <w:bodyDiv w:val="1"/>
      <w:marLeft w:val="0"/>
      <w:marRight w:val="0"/>
      <w:marTop w:val="0"/>
      <w:marBottom w:val="0"/>
      <w:divBdr>
        <w:top w:val="none" w:sz="0" w:space="0" w:color="auto"/>
        <w:left w:val="none" w:sz="0" w:space="0" w:color="auto"/>
        <w:bottom w:val="none" w:sz="0" w:space="0" w:color="auto"/>
        <w:right w:val="none" w:sz="0" w:space="0" w:color="auto"/>
      </w:divBdr>
    </w:div>
    <w:div w:id="562713195">
      <w:bodyDiv w:val="1"/>
      <w:marLeft w:val="0"/>
      <w:marRight w:val="0"/>
      <w:marTop w:val="0"/>
      <w:marBottom w:val="0"/>
      <w:divBdr>
        <w:top w:val="none" w:sz="0" w:space="0" w:color="auto"/>
        <w:left w:val="none" w:sz="0" w:space="0" w:color="auto"/>
        <w:bottom w:val="none" w:sz="0" w:space="0" w:color="auto"/>
        <w:right w:val="none" w:sz="0" w:space="0" w:color="auto"/>
      </w:divBdr>
    </w:div>
    <w:div w:id="564802327">
      <w:bodyDiv w:val="1"/>
      <w:marLeft w:val="0"/>
      <w:marRight w:val="0"/>
      <w:marTop w:val="0"/>
      <w:marBottom w:val="0"/>
      <w:divBdr>
        <w:top w:val="none" w:sz="0" w:space="0" w:color="auto"/>
        <w:left w:val="none" w:sz="0" w:space="0" w:color="auto"/>
        <w:bottom w:val="none" w:sz="0" w:space="0" w:color="auto"/>
        <w:right w:val="none" w:sz="0" w:space="0" w:color="auto"/>
      </w:divBdr>
    </w:div>
    <w:div w:id="566260378">
      <w:bodyDiv w:val="1"/>
      <w:marLeft w:val="0"/>
      <w:marRight w:val="0"/>
      <w:marTop w:val="0"/>
      <w:marBottom w:val="0"/>
      <w:divBdr>
        <w:top w:val="none" w:sz="0" w:space="0" w:color="auto"/>
        <w:left w:val="none" w:sz="0" w:space="0" w:color="auto"/>
        <w:bottom w:val="none" w:sz="0" w:space="0" w:color="auto"/>
        <w:right w:val="none" w:sz="0" w:space="0" w:color="auto"/>
      </w:divBdr>
    </w:div>
    <w:div w:id="567881149">
      <w:bodyDiv w:val="1"/>
      <w:marLeft w:val="0"/>
      <w:marRight w:val="0"/>
      <w:marTop w:val="0"/>
      <w:marBottom w:val="0"/>
      <w:divBdr>
        <w:top w:val="none" w:sz="0" w:space="0" w:color="auto"/>
        <w:left w:val="none" w:sz="0" w:space="0" w:color="auto"/>
        <w:bottom w:val="none" w:sz="0" w:space="0" w:color="auto"/>
        <w:right w:val="none" w:sz="0" w:space="0" w:color="auto"/>
      </w:divBdr>
    </w:div>
    <w:div w:id="595747191">
      <w:bodyDiv w:val="1"/>
      <w:marLeft w:val="0"/>
      <w:marRight w:val="0"/>
      <w:marTop w:val="0"/>
      <w:marBottom w:val="0"/>
      <w:divBdr>
        <w:top w:val="none" w:sz="0" w:space="0" w:color="auto"/>
        <w:left w:val="none" w:sz="0" w:space="0" w:color="auto"/>
        <w:bottom w:val="none" w:sz="0" w:space="0" w:color="auto"/>
        <w:right w:val="none" w:sz="0" w:space="0" w:color="auto"/>
      </w:divBdr>
    </w:div>
    <w:div w:id="596863100">
      <w:bodyDiv w:val="1"/>
      <w:marLeft w:val="0"/>
      <w:marRight w:val="0"/>
      <w:marTop w:val="0"/>
      <w:marBottom w:val="0"/>
      <w:divBdr>
        <w:top w:val="none" w:sz="0" w:space="0" w:color="auto"/>
        <w:left w:val="none" w:sz="0" w:space="0" w:color="auto"/>
        <w:bottom w:val="none" w:sz="0" w:space="0" w:color="auto"/>
        <w:right w:val="none" w:sz="0" w:space="0" w:color="auto"/>
      </w:divBdr>
    </w:div>
    <w:div w:id="597366965">
      <w:bodyDiv w:val="1"/>
      <w:marLeft w:val="0"/>
      <w:marRight w:val="0"/>
      <w:marTop w:val="0"/>
      <w:marBottom w:val="0"/>
      <w:divBdr>
        <w:top w:val="none" w:sz="0" w:space="0" w:color="auto"/>
        <w:left w:val="none" w:sz="0" w:space="0" w:color="auto"/>
        <w:bottom w:val="none" w:sz="0" w:space="0" w:color="auto"/>
        <w:right w:val="none" w:sz="0" w:space="0" w:color="auto"/>
      </w:divBdr>
    </w:div>
    <w:div w:id="597450700">
      <w:bodyDiv w:val="1"/>
      <w:marLeft w:val="0"/>
      <w:marRight w:val="0"/>
      <w:marTop w:val="0"/>
      <w:marBottom w:val="0"/>
      <w:divBdr>
        <w:top w:val="none" w:sz="0" w:space="0" w:color="auto"/>
        <w:left w:val="none" w:sz="0" w:space="0" w:color="auto"/>
        <w:bottom w:val="none" w:sz="0" w:space="0" w:color="auto"/>
        <w:right w:val="none" w:sz="0" w:space="0" w:color="auto"/>
      </w:divBdr>
    </w:div>
    <w:div w:id="601107480">
      <w:bodyDiv w:val="1"/>
      <w:marLeft w:val="0"/>
      <w:marRight w:val="0"/>
      <w:marTop w:val="0"/>
      <w:marBottom w:val="0"/>
      <w:divBdr>
        <w:top w:val="none" w:sz="0" w:space="0" w:color="auto"/>
        <w:left w:val="none" w:sz="0" w:space="0" w:color="auto"/>
        <w:bottom w:val="none" w:sz="0" w:space="0" w:color="auto"/>
        <w:right w:val="none" w:sz="0" w:space="0" w:color="auto"/>
      </w:divBdr>
    </w:div>
    <w:div w:id="609121742">
      <w:bodyDiv w:val="1"/>
      <w:marLeft w:val="0"/>
      <w:marRight w:val="0"/>
      <w:marTop w:val="0"/>
      <w:marBottom w:val="0"/>
      <w:divBdr>
        <w:top w:val="none" w:sz="0" w:space="0" w:color="auto"/>
        <w:left w:val="none" w:sz="0" w:space="0" w:color="auto"/>
        <w:bottom w:val="none" w:sz="0" w:space="0" w:color="auto"/>
        <w:right w:val="none" w:sz="0" w:space="0" w:color="auto"/>
      </w:divBdr>
    </w:div>
    <w:div w:id="611210063">
      <w:bodyDiv w:val="1"/>
      <w:marLeft w:val="0"/>
      <w:marRight w:val="0"/>
      <w:marTop w:val="0"/>
      <w:marBottom w:val="0"/>
      <w:divBdr>
        <w:top w:val="none" w:sz="0" w:space="0" w:color="auto"/>
        <w:left w:val="none" w:sz="0" w:space="0" w:color="auto"/>
        <w:bottom w:val="none" w:sz="0" w:space="0" w:color="auto"/>
        <w:right w:val="none" w:sz="0" w:space="0" w:color="auto"/>
      </w:divBdr>
    </w:div>
    <w:div w:id="613168462">
      <w:bodyDiv w:val="1"/>
      <w:marLeft w:val="0"/>
      <w:marRight w:val="0"/>
      <w:marTop w:val="0"/>
      <w:marBottom w:val="0"/>
      <w:divBdr>
        <w:top w:val="none" w:sz="0" w:space="0" w:color="auto"/>
        <w:left w:val="none" w:sz="0" w:space="0" w:color="auto"/>
        <w:bottom w:val="none" w:sz="0" w:space="0" w:color="auto"/>
        <w:right w:val="none" w:sz="0" w:space="0" w:color="auto"/>
      </w:divBdr>
    </w:div>
    <w:div w:id="620845020">
      <w:bodyDiv w:val="1"/>
      <w:marLeft w:val="0"/>
      <w:marRight w:val="0"/>
      <w:marTop w:val="0"/>
      <w:marBottom w:val="0"/>
      <w:divBdr>
        <w:top w:val="none" w:sz="0" w:space="0" w:color="auto"/>
        <w:left w:val="none" w:sz="0" w:space="0" w:color="auto"/>
        <w:bottom w:val="none" w:sz="0" w:space="0" w:color="auto"/>
        <w:right w:val="none" w:sz="0" w:space="0" w:color="auto"/>
      </w:divBdr>
    </w:div>
    <w:div w:id="622149835">
      <w:bodyDiv w:val="1"/>
      <w:marLeft w:val="0"/>
      <w:marRight w:val="0"/>
      <w:marTop w:val="0"/>
      <w:marBottom w:val="0"/>
      <w:divBdr>
        <w:top w:val="none" w:sz="0" w:space="0" w:color="auto"/>
        <w:left w:val="none" w:sz="0" w:space="0" w:color="auto"/>
        <w:bottom w:val="none" w:sz="0" w:space="0" w:color="auto"/>
        <w:right w:val="none" w:sz="0" w:space="0" w:color="auto"/>
      </w:divBdr>
    </w:div>
    <w:div w:id="628779473">
      <w:bodyDiv w:val="1"/>
      <w:marLeft w:val="0"/>
      <w:marRight w:val="0"/>
      <w:marTop w:val="0"/>
      <w:marBottom w:val="0"/>
      <w:divBdr>
        <w:top w:val="none" w:sz="0" w:space="0" w:color="auto"/>
        <w:left w:val="none" w:sz="0" w:space="0" w:color="auto"/>
        <w:bottom w:val="none" w:sz="0" w:space="0" w:color="auto"/>
        <w:right w:val="none" w:sz="0" w:space="0" w:color="auto"/>
      </w:divBdr>
    </w:div>
    <w:div w:id="629215445">
      <w:bodyDiv w:val="1"/>
      <w:marLeft w:val="0"/>
      <w:marRight w:val="0"/>
      <w:marTop w:val="0"/>
      <w:marBottom w:val="0"/>
      <w:divBdr>
        <w:top w:val="none" w:sz="0" w:space="0" w:color="auto"/>
        <w:left w:val="none" w:sz="0" w:space="0" w:color="auto"/>
        <w:bottom w:val="none" w:sz="0" w:space="0" w:color="auto"/>
        <w:right w:val="none" w:sz="0" w:space="0" w:color="auto"/>
      </w:divBdr>
    </w:div>
    <w:div w:id="631790541">
      <w:bodyDiv w:val="1"/>
      <w:marLeft w:val="0"/>
      <w:marRight w:val="0"/>
      <w:marTop w:val="0"/>
      <w:marBottom w:val="0"/>
      <w:divBdr>
        <w:top w:val="none" w:sz="0" w:space="0" w:color="auto"/>
        <w:left w:val="none" w:sz="0" w:space="0" w:color="auto"/>
        <w:bottom w:val="none" w:sz="0" w:space="0" w:color="auto"/>
        <w:right w:val="none" w:sz="0" w:space="0" w:color="auto"/>
      </w:divBdr>
    </w:div>
    <w:div w:id="634021617">
      <w:bodyDiv w:val="1"/>
      <w:marLeft w:val="0"/>
      <w:marRight w:val="0"/>
      <w:marTop w:val="0"/>
      <w:marBottom w:val="0"/>
      <w:divBdr>
        <w:top w:val="none" w:sz="0" w:space="0" w:color="auto"/>
        <w:left w:val="none" w:sz="0" w:space="0" w:color="auto"/>
        <w:bottom w:val="none" w:sz="0" w:space="0" w:color="auto"/>
        <w:right w:val="none" w:sz="0" w:space="0" w:color="auto"/>
      </w:divBdr>
    </w:div>
    <w:div w:id="634720163">
      <w:bodyDiv w:val="1"/>
      <w:marLeft w:val="0"/>
      <w:marRight w:val="0"/>
      <w:marTop w:val="0"/>
      <w:marBottom w:val="0"/>
      <w:divBdr>
        <w:top w:val="none" w:sz="0" w:space="0" w:color="auto"/>
        <w:left w:val="none" w:sz="0" w:space="0" w:color="auto"/>
        <w:bottom w:val="none" w:sz="0" w:space="0" w:color="auto"/>
        <w:right w:val="none" w:sz="0" w:space="0" w:color="auto"/>
      </w:divBdr>
    </w:div>
    <w:div w:id="637035711">
      <w:bodyDiv w:val="1"/>
      <w:marLeft w:val="0"/>
      <w:marRight w:val="0"/>
      <w:marTop w:val="0"/>
      <w:marBottom w:val="0"/>
      <w:divBdr>
        <w:top w:val="none" w:sz="0" w:space="0" w:color="auto"/>
        <w:left w:val="none" w:sz="0" w:space="0" w:color="auto"/>
        <w:bottom w:val="none" w:sz="0" w:space="0" w:color="auto"/>
        <w:right w:val="none" w:sz="0" w:space="0" w:color="auto"/>
      </w:divBdr>
    </w:div>
    <w:div w:id="637611432">
      <w:bodyDiv w:val="1"/>
      <w:marLeft w:val="0"/>
      <w:marRight w:val="0"/>
      <w:marTop w:val="0"/>
      <w:marBottom w:val="0"/>
      <w:divBdr>
        <w:top w:val="none" w:sz="0" w:space="0" w:color="auto"/>
        <w:left w:val="none" w:sz="0" w:space="0" w:color="auto"/>
        <w:bottom w:val="none" w:sz="0" w:space="0" w:color="auto"/>
        <w:right w:val="none" w:sz="0" w:space="0" w:color="auto"/>
      </w:divBdr>
    </w:div>
    <w:div w:id="644241787">
      <w:bodyDiv w:val="1"/>
      <w:marLeft w:val="0"/>
      <w:marRight w:val="0"/>
      <w:marTop w:val="0"/>
      <w:marBottom w:val="0"/>
      <w:divBdr>
        <w:top w:val="none" w:sz="0" w:space="0" w:color="auto"/>
        <w:left w:val="none" w:sz="0" w:space="0" w:color="auto"/>
        <w:bottom w:val="none" w:sz="0" w:space="0" w:color="auto"/>
        <w:right w:val="none" w:sz="0" w:space="0" w:color="auto"/>
      </w:divBdr>
    </w:div>
    <w:div w:id="644816003">
      <w:bodyDiv w:val="1"/>
      <w:marLeft w:val="0"/>
      <w:marRight w:val="0"/>
      <w:marTop w:val="0"/>
      <w:marBottom w:val="0"/>
      <w:divBdr>
        <w:top w:val="none" w:sz="0" w:space="0" w:color="auto"/>
        <w:left w:val="none" w:sz="0" w:space="0" w:color="auto"/>
        <w:bottom w:val="none" w:sz="0" w:space="0" w:color="auto"/>
        <w:right w:val="none" w:sz="0" w:space="0" w:color="auto"/>
      </w:divBdr>
    </w:div>
    <w:div w:id="647706637">
      <w:bodyDiv w:val="1"/>
      <w:marLeft w:val="0"/>
      <w:marRight w:val="0"/>
      <w:marTop w:val="0"/>
      <w:marBottom w:val="0"/>
      <w:divBdr>
        <w:top w:val="none" w:sz="0" w:space="0" w:color="auto"/>
        <w:left w:val="none" w:sz="0" w:space="0" w:color="auto"/>
        <w:bottom w:val="none" w:sz="0" w:space="0" w:color="auto"/>
        <w:right w:val="none" w:sz="0" w:space="0" w:color="auto"/>
      </w:divBdr>
    </w:div>
    <w:div w:id="650911833">
      <w:bodyDiv w:val="1"/>
      <w:marLeft w:val="0"/>
      <w:marRight w:val="0"/>
      <w:marTop w:val="0"/>
      <w:marBottom w:val="0"/>
      <w:divBdr>
        <w:top w:val="none" w:sz="0" w:space="0" w:color="auto"/>
        <w:left w:val="none" w:sz="0" w:space="0" w:color="auto"/>
        <w:bottom w:val="none" w:sz="0" w:space="0" w:color="auto"/>
        <w:right w:val="none" w:sz="0" w:space="0" w:color="auto"/>
      </w:divBdr>
    </w:div>
    <w:div w:id="654530280">
      <w:bodyDiv w:val="1"/>
      <w:marLeft w:val="0"/>
      <w:marRight w:val="0"/>
      <w:marTop w:val="0"/>
      <w:marBottom w:val="0"/>
      <w:divBdr>
        <w:top w:val="none" w:sz="0" w:space="0" w:color="auto"/>
        <w:left w:val="none" w:sz="0" w:space="0" w:color="auto"/>
        <w:bottom w:val="none" w:sz="0" w:space="0" w:color="auto"/>
        <w:right w:val="none" w:sz="0" w:space="0" w:color="auto"/>
      </w:divBdr>
    </w:div>
    <w:div w:id="659620750">
      <w:bodyDiv w:val="1"/>
      <w:marLeft w:val="0"/>
      <w:marRight w:val="0"/>
      <w:marTop w:val="0"/>
      <w:marBottom w:val="0"/>
      <w:divBdr>
        <w:top w:val="none" w:sz="0" w:space="0" w:color="auto"/>
        <w:left w:val="none" w:sz="0" w:space="0" w:color="auto"/>
        <w:bottom w:val="none" w:sz="0" w:space="0" w:color="auto"/>
        <w:right w:val="none" w:sz="0" w:space="0" w:color="auto"/>
      </w:divBdr>
    </w:div>
    <w:div w:id="664015636">
      <w:bodyDiv w:val="1"/>
      <w:marLeft w:val="0"/>
      <w:marRight w:val="0"/>
      <w:marTop w:val="0"/>
      <w:marBottom w:val="0"/>
      <w:divBdr>
        <w:top w:val="none" w:sz="0" w:space="0" w:color="auto"/>
        <w:left w:val="none" w:sz="0" w:space="0" w:color="auto"/>
        <w:bottom w:val="none" w:sz="0" w:space="0" w:color="auto"/>
        <w:right w:val="none" w:sz="0" w:space="0" w:color="auto"/>
      </w:divBdr>
    </w:div>
    <w:div w:id="667366323">
      <w:bodyDiv w:val="1"/>
      <w:marLeft w:val="0"/>
      <w:marRight w:val="0"/>
      <w:marTop w:val="0"/>
      <w:marBottom w:val="0"/>
      <w:divBdr>
        <w:top w:val="none" w:sz="0" w:space="0" w:color="auto"/>
        <w:left w:val="none" w:sz="0" w:space="0" w:color="auto"/>
        <w:bottom w:val="none" w:sz="0" w:space="0" w:color="auto"/>
        <w:right w:val="none" w:sz="0" w:space="0" w:color="auto"/>
      </w:divBdr>
    </w:div>
    <w:div w:id="671377960">
      <w:bodyDiv w:val="1"/>
      <w:marLeft w:val="0"/>
      <w:marRight w:val="0"/>
      <w:marTop w:val="0"/>
      <w:marBottom w:val="0"/>
      <w:divBdr>
        <w:top w:val="none" w:sz="0" w:space="0" w:color="auto"/>
        <w:left w:val="none" w:sz="0" w:space="0" w:color="auto"/>
        <w:bottom w:val="none" w:sz="0" w:space="0" w:color="auto"/>
        <w:right w:val="none" w:sz="0" w:space="0" w:color="auto"/>
      </w:divBdr>
    </w:div>
    <w:div w:id="694431347">
      <w:bodyDiv w:val="1"/>
      <w:marLeft w:val="0"/>
      <w:marRight w:val="0"/>
      <w:marTop w:val="0"/>
      <w:marBottom w:val="0"/>
      <w:divBdr>
        <w:top w:val="none" w:sz="0" w:space="0" w:color="auto"/>
        <w:left w:val="none" w:sz="0" w:space="0" w:color="auto"/>
        <w:bottom w:val="none" w:sz="0" w:space="0" w:color="auto"/>
        <w:right w:val="none" w:sz="0" w:space="0" w:color="auto"/>
      </w:divBdr>
    </w:div>
    <w:div w:id="695498810">
      <w:bodyDiv w:val="1"/>
      <w:marLeft w:val="0"/>
      <w:marRight w:val="0"/>
      <w:marTop w:val="0"/>
      <w:marBottom w:val="0"/>
      <w:divBdr>
        <w:top w:val="none" w:sz="0" w:space="0" w:color="auto"/>
        <w:left w:val="none" w:sz="0" w:space="0" w:color="auto"/>
        <w:bottom w:val="none" w:sz="0" w:space="0" w:color="auto"/>
        <w:right w:val="none" w:sz="0" w:space="0" w:color="auto"/>
      </w:divBdr>
    </w:div>
    <w:div w:id="695931554">
      <w:bodyDiv w:val="1"/>
      <w:marLeft w:val="0"/>
      <w:marRight w:val="0"/>
      <w:marTop w:val="0"/>
      <w:marBottom w:val="0"/>
      <w:divBdr>
        <w:top w:val="none" w:sz="0" w:space="0" w:color="auto"/>
        <w:left w:val="none" w:sz="0" w:space="0" w:color="auto"/>
        <w:bottom w:val="none" w:sz="0" w:space="0" w:color="auto"/>
        <w:right w:val="none" w:sz="0" w:space="0" w:color="auto"/>
      </w:divBdr>
    </w:div>
    <w:div w:id="710105808">
      <w:bodyDiv w:val="1"/>
      <w:marLeft w:val="0"/>
      <w:marRight w:val="0"/>
      <w:marTop w:val="0"/>
      <w:marBottom w:val="0"/>
      <w:divBdr>
        <w:top w:val="none" w:sz="0" w:space="0" w:color="auto"/>
        <w:left w:val="none" w:sz="0" w:space="0" w:color="auto"/>
        <w:bottom w:val="none" w:sz="0" w:space="0" w:color="auto"/>
        <w:right w:val="none" w:sz="0" w:space="0" w:color="auto"/>
      </w:divBdr>
    </w:div>
    <w:div w:id="710611166">
      <w:bodyDiv w:val="1"/>
      <w:marLeft w:val="0"/>
      <w:marRight w:val="0"/>
      <w:marTop w:val="0"/>
      <w:marBottom w:val="0"/>
      <w:divBdr>
        <w:top w:val="none" w:sz="0" w:space="0" w:color="auto"/>
        <w:left w:val="none" w:sz="0" w:space="0" w:color="auto"/>
        <w:bottom w:val="none" w:sz="0" w:space="0" w:color="auto"/>
        <w:right w:val="none" w:sz="0" w:space="0" w:color="auto"/>
      </w:divBdr>
    </w:div>
    <w:div w:id="712271059">
      <w:bodyDiv w:val="1"/>
      <w:marLeft w:val="0"/>
      <w:marRight w:val="0"/>
      <w:marTop w:val="0"/>
      <w:marBottom w:val="0"/>
      <w:divBdr>
        <w:top w:val="none" w:sz="0" w:space="0" w:color="auto"/>
        <w:left w:val="none" w:sz="0" w:space="0" w:color="auto"/>
        <w:bottom w:val="none" w:sz="0" w:space="0" w:color="auto"/>
        <w:right w:val="none" w:sz="0" w:space="0" w:color="auto"/>
      </w:divBdr>
    </w:div>
    <w:div w:id="716130358">
      <w:bodyDiv w:val="1"/>
      <w:marLeft w:val="0"/>
      <w:marRight w:val="0"/>
      <w:marTop w:val="0"/>
      <w:marBottom w:val="0"/>
      <w:divBdr>
        <w:top w:val="none" w:sz="0" w:space="0" w:color="auto"/>
        <w:left w:val="none" w:sz="0" w:space="0" w:color="auto"/>
        <w:bottom w:val="none" w:sz="0" w:space="0" w:color="auto"/>
        <w:right w:val="none" w:sz="0" w:space="0" w:color="auto"/>
      </w:divBdr>
    </w:div>
    <w:div w:id="720322328">
      <w:bodyDiv w:val="1"/>
      <w:marLeft w:val="0"/>
      <w:marRight w:val="0"/>
      <w:marTop w:val="0"/>
      <w:marBottom w:val="0"/>
      <w:divBdr>
        <w:top w:val="none" w:sz="0" w:space="0" w:color="auto"/>
        <w:left w:val="none" w:sz="0" w:space="0" w:color="auto"/>
        <w:bottom w:val="none" w:sz="0" w:space="0" w:color="auto"/>
        <w:right w:val="none" w:sz="0" w:space="0" w:color="auto"/>
      </w:divBdr>
    </w:div>
    <w:div w:id="725301745">
      <w:bodyDiv w:val="1"/>
      <w:marLeft w:val="0"/>
      <w:marRight w:val="0"/>
      <w:marTop w:val="0"/>
      <w:marBottom w:val="0"/>
      <w:divBdr>
        <w:top w:val="none" w:sz="0" w:space="0" w:color="auto"/>
        <w:left w:val="none" w:sz="0" w:space="0" w:color="auto"/>
        <w:bottom w:val="none" w:sz="0" w:space="0" w:color="auto"/>
        <w:right w:val="none" w:sz="0" w:space="0" w:color="auto"/>
      </w:divBdr>
    </w:div>
    <w:div w:id="726495693">
      <w:bodyDiv w:val="1"/>
      <w:marLeft w:val="0"/>
      <w:marRight w:val="0"/>
      <w:marTop w:val="0"/>
      <w:marBottom w:val="0"/>
      <w:divBdr>
        <w:top w:val="none" w:sz="0" w:space="0" w:color="auto"/>
        <w:left w:val="none" w:sz="0" w:space="0" w:color="auto"/>
        <w:bottom w:val="none" w:sz="0" w:space="0" w:color="auto"/>
        <w:right w:val="none" w:sz="0" w:space="0" w:color="auto"/>
      </w:divBdr>
    </w:div>
    <w:div w:id="731654499">
      <w:bodyDiv w:val="1"/>
      <w:marLeft w:val="0"/>
      <w:marRight w:val="0"/>
      <w:marTop w:val="0"/>
      <w:marBottom w:val="0"/>
      <w:divBdr>
        <w:top w:val="none" w:sz="0" w:space="0" w:color="auto"/>
        <w:left w:val="none" w:sz="0" w:space="0" w:color="auto"/>
        <w:bottom w:val="none" w:sz="0" w:space="0" w:color="auto"/>
        <w:right w:val="none" w:sz="0" w:space="0" w:color="auto"/>
      </w:divBdr>
    </w:div>
    <w:div w:id="737094126">
      <w:bodyDiv w:val="1"/>
      <w:marLeft w:val="0"/>
      <w:marRight w:val="0"/>
      <w:marTop w:val="0"/>
      <w:marBottom w:val="0"/>
      <w:divBdr>
        <w:top w:val="none" w:sz="0" w:space="0" w:color="auto"/>
        <w:left w:val="none" w:sz="0" w:space="0" w:color="auto"/>
        <w:bottom w:val="none" w:sz="0" w:space="0" w:color="auto"/>
        <w:right w:val="none" w:sz="0" w:space="0" w:color="auto"/>
      </w:divBdr>
    </w:div>
    <w:div w:id="740255723">
      <w:bodyDiv w:val="1"/>
      <w:marLeft w:val="0"/>
      <w:marRight w:val="0"/>
      <w:marTop w:val="0"/>
      <w:marBottom w:val="0"/>
      <w:divBdr>
        <w:top w:val="none" w:sz="0" w:space="0" w:color="auto"/>
        <w:left w:val="none" w:sz="0" w:space="0" w:color="auto"/>
        <w:bottom w:val="none" w:sz="0" w:space="0" w:color="auto"/>
        <w:right w:val="none" w:sz="0" w:space="0" w:color="auto"/>
      </w:divBdr>
    </w:div>
    <w:div w:id="740568893">
      <w:bodyDiv w:val="1"/>
      <w:marLeft w:val="0"/>
      <w:marRight w:val="0"/>
      <w:marTop w:val="0"/>
      <w:marBottom w:val="0"/>
      <w:divBdr>
        <w:top w:val="none" w:sz="0" w:space="0" w:color="auto"/>
        <w:left w:val="none" w:sz="0" w:space="0" w:color="auto"/>
        <w:bottom w:val="none" w:sz="0" w:space="0" w:color="auto"/>
        <w:right w:val="none" w:sz="0" w:space="0" w:color="auto"/>
      </w:divBdr>
    </w:div>
    <w:div w:id="743532753">
      <w:bodyDiv w:val="1"/>
      <w:marLeft w:val="0"/>
      <w:marRight w:val="0"/>
      <w:marTop w:val="0"/>
      <w:marBottom w:val="0"/>
      <w:divBdr>
        <w:top w:val="none" w:sz="0" w:space="0" w:color="auto"/>
        <w:left w:val="none" w:sz="0" w:space="0" w:color="auto"/>
        <w:bottom w:val="none" w:sz="0" w:space="0" w:color="auto"/>
        <w:right w:val="none" w:sz="0" w:space="0" w:color="auto"/>
      </w:divBdr>
    </w:div>
    <w:div w:id="744185416">
      <w:bodyDiv w:val="1"/>
      <w:marLeft w:val="0"/>
      <w:marRight w:val="0"/>
      <w:marTop w:val="0"/>
      <w:marBottom w:val="0"/>
      <w:divBdr>
        <w:top w:val="none" w:sz="0" w:space="0" w:color="auto"/>
        <w:left w:val="none" w:sz="0" w:space="0" w:color="auto"/>
        <w:bottom w:val="none" w:sz="0" w:space="0" w:color="auto"/>
        <w:right w:val="none" w:sz="0" w:space="0" w:color="auto"/>
      </w:divBdr>
    </w:div>
    <w:div w:id="745110193">
      <w:bodyDiv w:val="1"/>
      <w:marLeft w:val="0"/>
      <w:marRight w:val="0"/>
      <w:marTop w:val="0"/>
      <w:marBottom w:val="0"/>
      <w:divBdr>
        <w:top w:val="none" w:sz="0" w:space="0" w:color="auto"/>
        <w:left w:val="none" w:sz="0" w:space="0" w:color="auto"/>
        <w:bottom w:val="none" w:sz="0" w:space="0" w:color="auto"/>
        <w:right w:val="none" w:sz="0" w:space="0" w:color="auto"/>
      </w:divBdr>
    </w:div>
    <w:div w:id="746999046">
      <w:bodyDiv w:val="1"/>
      <w:marLeft w:val="0"/>
      <w:marRight w:val="0"/>
      <w:marTop w:val="0"/>
      <w:marBottom w:val="0"/>
      <w:divBdr>
        <w:top w:val="none" w:sz="0" w:space="0" w:color="auto"/>
        <w:left w:val="none" w:sz="0" w:space="0" w:color="auto"/>
        <w:bottom w:val="none" w:sz="0" w:space="0" w:color="auto"/>
        <w:right w:val="none" w:sz="0" w:space="0" w:color="auto"/>
      </w:divBdr>
    </w:div>
    <w:div w:id="752631406">
      <w:bodyDiv w:val="1"/>
      <w:marLeft w:val="0"/>
      <w:marRight w:val="0"/>
      <w:marTop w:val="0"/>
      <w:marBottom w:val="0"/>
      <w:divBdr>
        <w:top w:val="none" w:sz="0" w:space="0" w:color="auto"/>
        <w:left w:val="none" w:sz="0" w:space="0" w:color="auto"/>
        <w:bottom w:val="none" w:sz="0" w:space="0" w:color="auto"/>
        <w:right w:val="none" w:sz="0" w:space="0" w:color="auto"/>
      </w:divBdr>
    </w:div>
    <w:div w:id="760876401">
      <w:bodyDiv w:val="1"/>
      <w:marLeft w:val="0"/>
      <w:marRight w:val="0"/>
      <w:marTop w:val="0"/>
      <w:marBottom w:val="0"/>
      <w:divBdr>
        <w:top w:val="none" w:sz="0" w:space="0" w:color="auto"/>
        <w:left w:val="none" w:sz="0" w:space="0" w:color="auto"/>
        <w:bottom w:val="none" w:sz="0" w:space="0" w:color="auto"/>
        <w:right w:val="none" w:sz="0" w:space="0" w:color="auto"/>
      </w:divBdr>
    </w:div>
    <w:div w:id="763839561">
      <w:bodyDiv w:val="1"/>
      <w:marLeft w:val="0"/>
      <w:marRight w:val="0"/>
      <w:marTop w:val="0"/>
      <w:marBottom w:val="0"/>
      <w:divBdr>
        <w:top w:val="none" w:sz="0" w:space="0" w:color="auto"/>
        <w:left w:val="none" w:sz="0" w:space="0" w:color="auto"/>
        <w:bottom w:val="none" w:sz="0" w:space="0" w:color="auto"/>
        <w:right w:val="none" w:sz="0" w:space="0" w:color="auto"/>
      </w:divBdr>
    </w:div>
    <w:div w:id="774057343">
      <w:bodyDiv w:val="1"/>
      <w:marLeft w:val="0"/>
      <w:marRight w:val="0"/>
      <w:marTop w:val="0"/>
      <w:marBottom w:val="0"/>
      <w:divBdr>
        <w:top w:val="none" w:sz="0" w:space="0" w:color="auto"/>
        <w:left w:val="none" w:sz="0" w:space="0" w:color="auto"/>
        <w:bottom w:val="none" w:sz="0" w:space="0" w:color="auto"/>
        <w:right w:val="none" w:sz="0" w:space="0" w:color="auto"/>
      </w:divBdr>
    </w:div>
    <w:div w:id="780146933">
      <w:bodyDiv w:val="1"/>
      <w:marLeft w:val="0"/>
      <w:marRight w:val="0"/>
      <w:marTop w:val="0"/>
      <w:marBottom w:val="0"/>
      <w:divBdr>
        <w:top w:val="none" w:sz="0" w:space="0" w:color="auto"/>
        <w:left w:val="none" w:sz="0" w:space="0" w:color="auto"/>
        <w:bottom w:val="none" w:sz="0" w:space="0" w:color="auto"/>
        <w:right w:val="none" w:sz="0" w:space="0" w:color="auto"/>
      </w:divBdr>
    </w:div>
    <w:div w:id="786123279">
      <w:bodyDiv w:val="1"/>
      <w:marLeft w:val="0"/>
      <w:marRight w:val="0"/>
      <w:marTop w:val="0"/>
      <w:marBottom w:val="0"/>
      <w:divBdr>
        <w:top w:val="none" w:sz="0" w:space="0" w:color="auto"/>
        <w:left w:val="none" w:sz="0" w:space="0" w:color="auto"/>
        <w:bottom w:val="none" w:sz="0" w:space="0" w:color="auto"/>
        <w:right w:val="none" w:sz="0" w:space="0" w:color="auto"/>
      </w:divBdr>
    </w:div>
    <w:div w:id="792016309">
      <w:bodyDiv w:val="1"/>
      <w:marLeft w:val="0"/>
      <w:marRight w:val="0"/>
      <w:marTop w:val="0"/>
      <w:marBottom w:val="0"/>
      <w:divBdr>
        <w:top w:val="none" w:sz="0" w:space="0" w:color="auto"/>
        <w:left w:val="none" w:sz="0" w:space="0" w:color="auto"/>
        <w:bottom w:val="none" w:sz="0" w:space="0" w:color="auto"/>
        <w:right w:val="none" w:sz="0" w:space="0" w:color="auto"/>
      </w:divBdr>
    </w:div>
    <w:div w:id="793014539">
      <w:bodyDiv w:val="1"/>
      <w:marLeft w:val="0"/>
      <w:marRight w:val="0"/>
      <w:marTop w:val="0"/>
      <w:marBottom w:val="0"/>
      <w:divBdr>
        <w:top w:val="none" w:sz="0" w:space="0" w:color="auto"/>
        <w:left w:val="none" w:sz="0" w:space="0" w:color="auto"/>
        <w:bottom w:val="none" w:sz="0" w:space="0" w:color="auto"/>
        <w:right w:val="none" w:sz="0" w:space="0" w:color="auto"/>
      </w:divBdr>
    </w:div>
    <w:div w:id="799155088">
      <w:bodyDiv w:val="1"/>
      <w:marLeft w:val="0"/>
      <w:marRight w:val="0"/>
      <w:marTop w:val="0"/>
      <w:marBottom w:val="0"/>
      <w:divBdr>
        <w:top w:val="none" w:sz="0" w:space="0" w:color="auto"/>
        <w:left w:val="none" w:sz="0" w:space="0" w:color="auto"/>
        <w:bottom w:val="none" w:sz="0" w:space="0" w:color="auto"/>
        <w:right w:val="none" w:sz="0" w:space="0" w:color="auto"/>
      </w:divBdr>
    </w:div>
    <w:div w:id="803960080">
      <w:bodyDiv w:val="1"/>
      <w:marLeft w:val="0"/>
      <w:marRight w:val="0"/>
      <w:marTop w:val="0"/>
      <w:marBottom w:val="0"/>
      <w:divBdr>
        <w:top w:val="none" w:sz="0" w:space="0" w:color="auto"/>
        <w:left w:val="none" w:sz="0" w:space="0" w:color="auto"/>
        <w:bottom w:val="none" w:sz="0" w:space="0" w:color="auto"/>
        <w:right w:val="none" w:sz="0" w:space="0" w:color="auto"/>
      </w:divBdr>
    </w:div>
    <w:div w:id="804389550">
      <w:bodyDiv w:val="1"/>
      <w:marLeft w:val="0"/>
      <w:marRight w:val="0"/>
      <w:marTop w:val="0"/>
      <w:marBottom w:val="0"/>
      <w:divBdr>
        <w:top w:val="none" w:sz="0" w:space="0" w:color="auto"/>
        <w:left w:val="none" w:sz="0" w:space="0" w:color="auto"/>
        <w:bottom w:val="none" w:sz="0" w:space="0" w:color="auto"/>
        <w:right w:val="none" w:sz="0" w:space="0" w:color="auto"/>
      </w:divBdr>
    </w:div>
    <w:div w:id="810288436">
      <w:bodyDiv w:val="1"/>
      <w:marLeft w:val="0"/>
      <w:marRight w:val="0"/>
      <w:marTop w:val="0"/>
      <w:marBottom w:val="0"/>
      <w:divBdr>
        <w:top w:val="none" w:sz="0" w:space="0" w:color="auto"/>
        <w:left w:val="none" w:sz="0" w:space="0" w:color="auto"/>
        <w:bottom w:val="none" w:sz="0" w:space="0" w:color="auto"/>
        <w:right w:val="none" w:sz="0" w:space="0" w:color="auto"/>
      </w:divBdr>
    </w:div>
    <w:div w:id="816843313">
      <w:bodyDiv w:val="1"/>
      <w:marLeft w:val="0"/>
      <w:marRight w:val="0"/>
      <w:marTop w:val="0"/>
      <w:marBottom w:val="0"/>
      <w:divBdr>
        <w:top w:val="none" w:sz="0" w:space="0" w:color="auto"/>
        <w:left w:val="none" w:sz="0" w:space="0" w:color="auto"/>
        <w:bottom w:val="none" w:sz="0" w:space="0" w:color="auto"/>
        <w:right w:val="none" w:sz="0" w:space="0" w:color="auto"/>
      </w:divBdr>
    </w:div>
    <w:div w:id="821852669">
      <w:bodyDiv w:val="1"/>
      <w:marLeft w:val="0"/>
      <w:marRight w:val="0"/>
      <w:marTop w:val="0"/>
      <w:marBottom w:val="0"/>
      <w:divBdr>
        <w:top w:val="none" w:sz="0" w:space="0" w:color="auto"/>
        <w:left w:val="none" w:sz="0" w:space="0" w:color="auto"/>
        <w:bottom w:val="none" w:sz="0" w:space="0" w:color="auto"/>
        <w:right w:val="none" w:sz="0" w:space="0" w:color="auto"/>
      </w:divBdr>
    </w:div>
    <w:div w:id="822232676">
      <w:bodyDiv w:val="1"/>
      <w:marLeft w:val="0"/>
      <w:marRight w:val="0"/>
      <w:marTop w:val="0"/>
      <w:marBottom w:val="0"/>
      <w:divBdr>
        <w:top w:val="none" w:sz="0" w:space="0" w:color="auto"/>
        <w:left w:val="none" w:sz="0" w:space="0" w:color="auto"/>
        <w:bottom w:val="none" w:sz="0" w:space="0" w:color="auto"/>
        <w:right w:val="none" w:sz="0" w:space="0" w:color="auto"/>
      </w:divBdr>
    </w:div>
    <w:div w:id="823544991">
      <w:bodyDiv w:val="1"/>
      <w:marLeft w:val="0"/>
      <w:marRight w:val="0"/>
      <w:marTop w:val="0"/>
      <w:marBottom w:val="0"/>
      <w:divBdr>
        <w:top w:val="none" w:sz="0" w:space="0" w:color="auto"/>
        <w:left w:val="none" w:sz="0" w:space="0" w:color="auto"/>
        <w:bottom w:val="none" w:sz="0" w:space="0" w:color="auto"/>
        <w:right w:val="none" w:sz="0" w:space="0" w:color="auto"/>
      </w:divBdr>
    </w:div>
    <w:div w:id="829979333">
      <w:bodyDiv w:val="1"/>
      <w:marLeft w:val="0"/>
      <w:marRight w:val="0"/>
      <w:marTop w:val="0"/>
      <w:marBottom w:val="0"/>
      <w:divBdr>
        <w:top w:val="none" w:sz="0" w:space="0" w:color="auto"/>
        <w:left w:val="none" w:sz="0" w:space="0" w:color="auto"/>
        <w:bottom w:val="none" w:sz="0" w:space="0" w:color="auto"/>
        <w:right w:val="none" w:sz="0" w:space="0" w:color="auto"/>
      </w:divBdr>
    </w:div>
    <w:div w:id="834539266">
      <w:bodyDiv w:val="1"/>
      <w:marLeft w:val="0"/>
      <w:marRight w:val="0"/>
      <w:marTop w:val="0"/>
      <w:marBottom w:val="0"/>
      <w:divBdr>
        <w:top w:val="none" w:sz="0" w:space="0" w:color="auto"/>
        <w:left w:val="none" w:sz="0" w:space="0" w:color="auto"/>
        <w:bottom w:val="none" w:sz="0" w:space="0" w:color="auto"/>
        <w:right w:val="none" w:sz="0" w:space="0" w:color="auto"/>
      </w:divBdr>
    </w:div>
    <w:div w:id="839277509">
      <w:bodyDiv w:val="1"/>
      <w:marLeft w:val="0"/>
      <w:marRight w:val="0"/>
      <w:marTop w:val="0"/>
      <w:marBottom w:val="0"/>
      <w:divBdr>
        <w:top w:val="none" w:sz="0" w:space="0" w:color="auto"/>
        <w:left w:val="none" w:sz="0" w:space="0" w:color="auto"/>
        <w:bottom w:val="none" w:sz="0" w:space="0" w:color="auto"/>
        <w:right w:val="none" w:sz="0" w:space="0" w:color="auto"/>
      </w:divBdr>
    </w:div>
    <w:div w:id="839278151">
      <w:bodyDiv w:val="1"/>
      <w:marLeft w:val="0"/>
      <w:marRight w:val="0"/>
      <w:marTop w:val="0"/>
      <w:marBottom w:val="0"/>
      <w:divBdr>
        <w:top w:val="none" w:sz="0" w:space="0" w:color="auto"/>
        <w:left w:val="none" w:sz="0" w:space="0" w:color="auto"/>
        <w:bottom w:val="none" w:sz="0" w:space="0" w:color="auto"/>
        <w:right w:val="none" w:sz="0" w:space="0" w:color="auto"/>
      </w:divBdr>
    </w:div>
    <w:div w:id="843738913">
      <w:bodyDiv w:val="1"/>
      <w:marLeft w:val="0"/>
      <w:marRight w:val="0"/>
      <w:marTop w:val="0"/>
      <w:marBottom w:val="0"/>
      <w:divBdr>
        <w:top w:val="none" w:sz="0" w:space="0" w:color="auto"/>
        <w:left w:val="none" w:sz="0" w:space="0" w:color="auto"/>
        <w:bottom w:val="none" w:sz="0" w:space="0" w:color="auto"/>
        <w:right w:val="none" w:sz="0" w:space="0" w:color="auto"/>
      </w:divBdr>
    </w:div>
    <w:div w:id="846139397">
      <w:bodyDiv w:val="1"/>
      <w:marLeft w:val="0"/>
      <w:marRight w:val="0"/>
      <w:marTop w:val="0"/>
      <w:marBottom w:val="0"/>
      <w:divBdr>
        <w:top w:val="none" w:sz="0" w:space="0" w:color="auto"/>
        <w:left w:val="none" w:sz="0" w:space="0" w:color="auto"/>
        <w:bottom w:val="none" w:sz="0" w:space="0" w:color="auto"/>
        <w:right w:val="none" w:sz="0" w:space="0" w:color="auto"/>
      </w:divBdr>
    </w:div>
    <w:div w:id="860438907">
      <w:bodyDiv w:val="1"/>
      <w:marLeft w:val="0"/>
      <w:marRight w:val="0"/>
      <w:marTop w:val="0"/>
      <w:marBottom w:val="0"/>
      <w:divBdr>
        <w:top w:val="none" w:sz="0" w:space="0" w:color="auto"/>
        <w:left w:val="none" w:sz="0" w:space="0" w:color="auto"/>
        <w:bottom w:val="none" w:sz="0" w:space="0" w:color="auto"/>
        <w:right w:val="none" w:sz="0" w:space="0" w:color="auto"/>
      </w:divBdr>
    </w:div>
    <w:div w:id="879322861">
      <w:bodyDiv w:val="1"/>
      <w:marLeft w:val="0"/>
      <w:marRight w:val="0"/>
      <w:marTop w:val="0"/>
      <w:marBottom w:val="0"/>
      <w:divBdr>
        <w:top w:val="none" w:sz="0" w:space="0" w:color="auto"/>
        <w:left w:val="none" w:sz="0" w:space="0" w:color="auto"/>
        <w:bottom w:val="none" w:sz="0" w:space="0" w:color="auto"/>
        <w:right w:val="none" w:sz="0" w:space="0" w:color="auto"/>
      </w:divBdr>
    </w:div>
    <w:div w:id="884872642">
      <w:bodyDiv w:val="1"/>
      <w:marLeft w:val="0"/>
      <w:marRight w:val="0"/>
      <w:marTop w:val="0"/>
      <w:marBottom w:val="0"/>
      <w:divBdr>
        <w:top w:val="none" w:sz="0" w:space="0" w:color="auto"/>
        <w:left w:val="none" w:sz="0" w:space="0" w:color="auto"/>
        <w:bottom w:val="none" w:sz="0" w:space="0" w:color="auto"/>
        <w:right w:val="none" w:sz="0" w:space="0" w:color="auto"/>
      </w:divBdr>
    </w:div>
    <w:div w:id="889146768">
      <w:bodyDiv w:val="1"/>
      <w:marLeft w:val="0"/>
      <w:marRight w:val="0"/>
      <w:marTop w:val="0"/>
      <w:marBottom w:val="0"/>
      <w:divBdr>
        <w:top w:val="none" w:sz="0" w:space="0" w:color="auto"/>
        <w:left w:val="none" w:sz="0" w:space="0" w:color="auto"/>
        <w:bottom w:val="none" w:sz="0" w:space="0" w:color="auto"/>
        <w:right w:val="none" w:sz="0" w:space="0" w:color="auto"/>
      </w:divBdr>
    </w:div>
    <w:div w:id="895236673">
      <w:bodyDiv w:val="1"/>
      <w:marLeft w:val="0"/>
      <w:marRight w:val="0"/>
      <w:marTop w:val="0"/>
      <w:marBottom w:val="0"/>
      <w:divBdr>
        <w:top w:val="none" w:sz="0" w:space="0" w:color="auto"/>
        <w:left w:val="none" w:sz="0" w:space="0" w:color="auto"/>
        <w:bottom w:val="none" w:sz="0" w:space="0" w:color="auto"/>
        <w:right w:val="none" w:sz="0" w:space="0" w:color="auto"/>
      </w:divBdr>
    </w:div>
    <w:div w:id="895704991">
      <w:bodyDiv w:val="1"/>
      <w:marLeft w:val="0"/>
      <w:marRight w:val="0"/>
      <w:marTop w:val="0"/>
      <w:marBottom w:val="0"/>
      <w:divBdr>
        <w:top w:val="none" w:sz="0" w:space="0" w:color="auto"/>
        <w:left w:val="none" w:sz="0" w:space="0" w:color="auto"/>
        <w:bottom w:val="none" w:sz="0" w:space="0" w:color="auto"/>
        <w:right w:val="none" w:sz="0" w:space="0" w:color="auto"/>
      </w:divBdr>
    </w:div>
    <w:div w:id="899025597">
      <w:bodyDiv w:val="1"/>
      <w:marLeft w:val="0"/>
      <w:marRight w:val="0"/>
      <w:marTop w:val="0"/>
      <w:marBottom w:val="0"/>
      <w:divBdr>
        <w:top w:val="none" w:sz="0" w:space="0" w:color="auto"/>
        <w:left w:val="none" w:sz="0" w:space="0" w:color="auto"/>
        <w:bottom w:val="none" w:sz="0" w:space="0" w:color="auto"/>
        <w:right w:val="none" w:sz="0" w:space="0" w:color="auto"/>
      </w:divBdr>
    </w:div>
    <w:div w:id="899485309">
      <w:bodyDiv w:val="1"/>
      <w:marLeft w:val="0"/>
      <w:marRight w:val="0"/>
      <w:marTop w:val="0"/>
      <w:marBottom w:val="0"/>
      <w:divBdr>
        <w:top w:val="none" w:sz="0" w:space="0" w:color="auto"/>
        <w:left w:val="none" w:sz="0" w:space="0" w:color="auto"/>
        <w:bottom w:val="none" w:sz="0" w:space="0" w:color="auto"/>
        <w:right w:val="none" w:sz="0" w:space="0" w:color="auto"/>
      </w:divBdr>
    </w:div>
    <w:div w:id="904418792">
      <w:bodyDiv w:val="1"/>
      <w:marLeft w:val="0"/>
      <w:marRight w:val="0"/>
      <w:marTop w:val="0"/>
      <w:marBottom w:val="0"/>
      <w:divBdr>
        <w:top w:val="none" w:sz="0" w:space="0" w:color="auto"/>
        <w:left w:val="none" w:sz="0" w:space="0" w:color="auto"/>
        <w:bottom w:val="none" w:sz="0" w:space="0" w:color="auto"/>
        <w:right w:val="none" w:sz="0" w:space="0" w:color="auto"/>
      </w:divBdr>
    </w:div>
    <w:div w:id="910504148">
      <w:bodyDiv w:val="1"/>
      <w:marLeft w:val="0"/>
      <w:marRight w:val="0"/>
      <w:marTop w:val="0"/>
      <w:marBottom w:val="0"/>
      <w:divBdr>
        <w:top w:val="none" w:sz="0" w:space="0" w:color="auto"/>
        <w:left w:val="none" w:sz="0" w:space="0" w:color="auto"/>
        <w:bottom w:val="none" w:sz="0" w:space="0" w:color="auto"/>
        <w:right w:val="none" w:sz="0" w:space="0" w:color="auto"/>
      </w:divBdr>
    </w:div>
    <w:div w:id="914511107">
      <w:bodyDiv w:val="1"/>
      <w:marLeft w:val="0"/>
      <w:marRight w:val="0"/>
      <w:marTop w:val="0"/>
      <w:marBottom w:val="0"/>
      <w:divBdr>
        <w:top w:val="none" w:sz="0" w:space="0" w:color="auto"/>
        <w:left w:val="none" w:sz="0" w:space="0" w:color="auto"/>
        <w:bottom w:val="none" w:sz="0" w:space="0" w:color="auto"/>
        <w:right w:val="none" w:sz="0" w:space="0" w:color="auto"/>
      </w:divBdr>
    </w:div>
    <w:div w:id="924803950">
      <w:bodyDiv w:val="1"/>
      <w:marLeft w:val="0"/>
      <w:marRight w:val="0"/>
      <w:marTop w:val="0"/>
      <w:marBottom w:val="0"/>
      <w:divBdr>
        <w:top w:val="none" w:sz="0" w:space="0" w:color="auto"/>
        <w:left w:val="none" w:sz="0" w:space="0" w:color="auto"/>
        <w:bottom w:val="none" w:sz="0" w:space="0" w:color="auto"/>
        <w:right w:val="none" w:sz="0" w:space="0" w:color="auto"/>
      </w:divBdr>
    </w:div>
    <w:div w:id="925118306">
      <w:bodyDiv w:val="1"/>
      <w:marLeft w:val="0"/>
      <w:marRight w:val="0"/>
      <w:marTop w:val="0"/>
      <w:marBottom w:val="0"/>
      <w:divBdr>
        <w:top w:val="none" w:sz="0" w:space="0" w:color="auto"/>
        <w:left w:val="none" w:sz="0" w:space="0" w:color="auto"/>
        <w:bottom w:val="none" w:sz="0" w:space="0" w:color="auto"/>
        <w:right w:val="none" w:sz="0" w:space="0" w:color="auto"/>
      </w:divBdr>
    </w:div>
    <w:div w:id="951518776">
      <w:bodyDiv w:val="1"/>
      <w:marLeft w:val="0"/>
      <w:marRight w:val="0"/>
      <w:marTop w:val="0"/>
      <w:marBottom w:val="0"/>
      <w:divBdr>
        <w:top w:val="none" w:sz="0" w:space="0" w:color="auto"/>
        <w:left w:val="none" w:sz="0" w:space="0" w:color="auto"/>
        <w:bottom w:val="none" w:sz="0" w:space="0" w:color="auto"/>
        <w:right w:val="none" w:sz="0" w:space="0" w:color="auto"/>
      </w:divBdr>
    </w:div>
    <w:div w:id="951595648">
      <w:bodyDiv w:val="1"/>
      <w:marLeft w:val="0"/>
      <w:marRight w:val="0"/>
      <w:marTop w:val="0"/>
      <w:marBottom w:val="0"/>
      <w:divBdr>
        <w:top w:val="none" w:sz="0" w:space="0" w:color="auto"/>
        <w:left w:val="none" w:sz="0" w:space="0" w:color="auto"/>
        <w:bottom w:val="none" w:sz="0" w:space="0" w:color="auto"/>
        <w:right w:val="none" w:sz="0" w:space="0" w:color="auto"/>
      </w:divBdr>
    </w:div>
    <w:div w:id="957099726">
      <w:bodyDiv w:val="1"/>
      <w:marLeft w:val="0"/>
      <w:marRight w:val="0"/>
      <w:marTop w:val="0"/>
      <w:marBottom w:val="0"/>
      <w:divBdr>
        <w:top w:val="none" w:sz="0" w:space="0" w:color="auto"/>
        <w:left w:val="none" w:sz="0" w:space="0" w:color="auto"/>
        <w:bottom w:val="none" w:sz="0" w:space="0" w:color="auto"/>
        <w:right w:val="none" w:sz="0" w:space="0" w:color="auto"/>
      </w:divBdr>
    </w:div>
    <w:div w:id="965696172">
      <w:bodyDiv w:val="1"/>
      <w:marLeft w:val="0"/>
      <w:marRight w:val="0"/>
      <w:marTop w:val="0"/>
      <w:marBottom w:val="0"/>
      <w:divBdr>
        <w:top w:val="none" w:sz="0" w:space="0" w:color="auto"/>
        <w:left w:val="none" w:sz="0" w:space="0" w:color="auto"/>
        <w:bottom w:val="none" w:sz="0" w:space="0" w:color="auto"/>
        <w:right w:val="none" w:sz="0" w:space="0" w:color="auto"/>
      </w:divBdr>
    </w:div>
    <w:div w:id="966661647">
      <w:bodyDiv w:val="1"/>
      <w:marLeft w:val="0"/>
      <w:marRight w:val="0"/>
      <w:marTop w:val="0"/>
      <w:marBottom w:val="0"/>
      <w:divBdr>
        <w:top w:val="none" w:sz="0" w:space="0" w:color="auto"/>
        <w:left w:val="none" w:sz="0" w:space="0" w:color="auto"/>
        <w:bottom w:val="none" w:sz="0" w:space="0" w:color="auto"/>
        <w:right w:val="none" w:sz="0" w:space="0" w:color="auto"/>
      </w:divBdr>
    </w:div>
    <w:div w:id="972756814">
      <w:bodyDiv w:val="1"/>
      <w:marLeft w:val="0"/>
      <w:marRight w:val="0"/>
      <w:marTop w:val="0"/>
      <w:marBottom w:val="0"/>
      <w:divBdr>
        <w:top w:val="none" w:sz="0" w:space="0" w:color="auto"/>
        <w:left w:val="none" w:sz="0" w:space="0" w:color="auto"/>
        <w:bottom w:val="none" w:sz="0" w:space="0" w:color="auto"/>
        <w:right w:val="none" w:sz="0" w:space="0" w:color="auto"/>
      </w:divBdr>
    </w:div>
    <w:div w:id="978151623">
      <w:bodyDiv w:val="1"/>
      <w:marLeft w:val="0"/>
      <w:marRight w:val="0"/>
      <w:marTop w:val="0"/>
      <w:marBottom w:val="0"/>
      <w:divBdr>
        <w:top w:val="none" w:sz="0" w:space="0" w:color="auto"/>
        <w:left w:val="none" w:sz="0" w:space="0" w:color="auto"/>
        <w:bottom w:val="none" w:sz="0" w:space="0" w:color="auto"/>
        <w:right w:val="none" w:sz="0" w:space="0" w:color="auto"/>
      </w:divBdr>
    </w:div>
    <w:div w:id="983654266">
      <w:bodyDiv w:val="1"/>
      <w:marLeft w:val="0"/>
      <w:marRight w:val="0"/>
      <w:marTop w:val="0"/>
      <w:marBottom w:val="0"/>
      <w:divBdr>
        <w:top w:val="none" w:sz="0" w:space="0" w:color="auto"/>
        <w:left w:val="none" w:sz="0" w:space="0" w:color="auto"/>
        <w:bottom w:val="none" w:sz="0" w:space="0" w:color="auto"/>
        <w:right w:val="none" w:sz="0" w:space="0" w:color="auto"/>
      </w:divBdr>
    </w:div>
    <w:div w:id="994454039">
      <w:bodyDiv w:val="1"/>
      <w:marLeft w:val="0"/>
      <w:marRight w:val="0"/>
      <w:marTop w:val="0"/>
      <w:marBottom w:val="0"/>
      <w:divBdr>
        <w:top w:val="none" w:sz="0" w:space="0" w:color="auto"/>
        <w:left w:val="none" w:sz="0" w:space="0" w:color="auto"/>
        <w:bottom w:val="none" w:sz="0" w:space="0" w:color="auto"/>
        <w:right w:val="none" w:sz="0" w:space="0" w:color="auto"/>
      </w:divBdr>
    </w:div>
    <w:div w:id="997264567">
      <w:bodyDiv w:val="1"/>
      <w:marLeft w:val="0"/>
      <w:marRight w:val="0"/>
      <w:marTop w:val="0"/>
      <w:marBottom w:val="0"/>
      <w:divBdr>
        <w:top w:val="none" w:sz="0" w:space="0" w:color="auto"/>
        <w:left w:val="none" w:sz="0" w:space="0" w:color="auto"/>
        <w:bottom w:val="none" w:sz="0" w:space="0" w:color="auto"/>
        <w:right w:val="none" w:sz="0" w:space="0" w:color="auto"/>
      </w:divBdr>
    </w:div>
    <w:div w:id="998966369">
      <w:bodyDiv w:val="1"/>
      <w:marLeft w:val="0"/>
      <w:marRight w:val="0"/>
      <w:marTop w:val="0"/>
      <w:marBottom w:val="0"/>
      <w:divBdr>
        <w:top w:val="none" w:sz="0" w:space="0" w:color="auto"/>
        <w:left w:val="none" w:sz="0" w:space="0" w:color="auto"/>
        <w:bottom w:val="none" w:sz="0" w:space="0" w:color="auto"/>
        <w:right w:val="none" w:sz="0" w:space="0" w:color="auto"/>
      </w:divBdr>
    </w:div>
    <w:div w:id="1001735425">
      <w:bodyDiv w:val="1"/>
      <w:marLeft w:val="0"/>
      <w:marRight w:val="0"/>
      <w:marTop w:val="0"/>
      <w:marBottom w:val="0"/>
      <w:divBdr>
        <w:top w:val="none" w:sz="0" w:space="0" w:color="auto"/>
        <w:left w:val="none" w:sz="0" w:space="0" w:color="auto"/>
        <w:bottom w:val="none" w:sz="0" w:space="0" w:color="auto"/>
        <w:right w:val="none" w:sz="0" w:space="0" w:color="auto"/>
      </w:divBdr>
    </w:div>
    <w:div w:id="1009795140">
      <w:bodyDiv w:val="1"/>
      <w:marLeft w:val="0"/>
      <w:marRight w:val="0"/>
      <w:marTop w:val="0"/>
      <w:marBottom w:val="0"/>
      <w:divBdr>
        <w:top w:val="none" w:sz="0" w:space="0" w:color="auto"/>
        <w:left w:val="none" w:sz="0" w:space="0" w:color="auto"/>
        <w:bottom w:val="none" w:sz="0" w:space="0" w:color="auto"/>
        <w:right w:val="none" w:sz="0" w:space="0" w:color="auto"/>
      </w:divBdr>
    </w:div>
    <w:div w:id="1020349622">
      <w:bodyDiv w:val="1"/>
      <w:marLeft w:val="0"/>
      <w:marRight w:val="0"/>
      <w:marTop w:val="0"/>
      <w:marBottom w:val="0"/>
      <w:divBdr>
        <w:top w:val="none" w:sz="0" w:space="0" w:color="auto"/>
        <w:left w:val="none" w:sz="0" w:space="0" w:color="auto"/>
        <w:bottom w:val="none" w:sz="0" w:space="0" w:color="auto"/>
        <w:right w:val="none" w:sz="0" w:space="0" w:color="auto"/>
      </w:divBdr>
    </w:div>
    <w:div w:id="1021518043">
      <w:bodyDiv w:val="1"/>
      <w:marLeft w:val="0"/>
      <w:marRight w:val="0"/>
      <w:marTop w:val="0"/>
      <w:marBottom w:val="0"/>
      <w:divBdr>
        <w:top w:val="none" w:sz="0" w:space="0" w:color="auto"/>
        <w:left w:val="none" w:sz="0" w:space="0" w:color="auto"/>
        <w:bottom w:val="none" w:sz="0" w:space="0" w:color="auto"/>
        <w:right w:val="none" w:sz="0" w:space="0" w:color="auto"/>
      </w:divBdr>
    </w:div>
    <w:div w:id="1024406780">
      <w:bodyDiv w:val="1"/>
      <w:marLeft w:val="0"/>
      <w:marRight w:val="0"/>
      <w:marTop w:val="0"/>
      <w:marBottom w:val="0"/>
      <w:divBdr>
        <w:top w:val="none" w:sz="0" w:space="0" w:color="auto"/>
        <w:left w:val="none" w:sz="0" w:space="0" w:color="auto"/>
        <w:bottom w:val="none" w:sz="0" w:space="0" w:color="auto"/>
        <w:right w:val="none" w:sz="0" w:space="0" w:color="auto"/>
      </w:divBdr>
    </w:div>
    <w:div w:id="1027367500">
      <w:bodyDiv w:val="1"/>
      <w:marLeft w:val="0"/>
      <w:marRight w:val="0"/>
      <w:marTop w:val="0"/>
      <w:marBottom w:val="0"/>
      <w:divBdr>
        <w:top w:val="none" w:sz="0" w:space="0" w:color="auto"/>
        <w:left w:val="none" w:sz="0" w:space="0" w:color="auto"/>
        <w:bottom w:val="none" w:sz="0" w:space="0" w:color="auto"/>
        <w:right w:val="none" w:sz="0" w:space="0" w:color="auto"/>
      </w:divBdr>
    </w:div>
    <w:div w:id="1030689784">
      <w:bodyDiv w:val="1"/>
      <w:marLeft w:val="0"/>
      <w:marRight w:val="0"/>
      <w:marTop w:val="0"/>
      <w:marBottom w:val="0"/>
      <w:divBdr>
        <w:top w:val="none" w:sz="0" w:space="0" w:color="auto"/>
        <w:left w:val="none" w:sz="0" w:space="0" w:color="auto"/>
        <w:bottom w:val="none" w:sz="0" w:space="0" w:color="auto"/>
        <w:right w:val="none" w:sz="0" w:space="0" w:color="auto"/>
      </w:divBdr>
    </w:div>
    <w:div w:id="1042287974">
      <w:bodyDiv w:val="1"/>
      <w:marLeft w:val="0"/>
      <w:marRight w:val="0"/>
      <w:marTop w:val="0"/>
      <w:marBottom w:val="0"/>
      <w:divBdr>
        <w:top w:val="none" w:sz="0" w:space="0" w:color="auto"/>
        <w:left w:val="none" w:sz="0" w:space="0" w:color="auto"/>
        <w:bottom w:val="none" w:sz="0" w:space="0" w:color="auto"/>
        <w:right w:val="none" w:sz="0" w:space="0" w:color="auto"/>
      </w:divBdr>
    </w:div>
    <w:div w:id="1042905449">
      <w:bodyDiv w:val="1"/>
      <w:marLeft w:val="0"/>
      <w:marRight w:val="0"/>
      <w:marTop w:val="0"/>
      <w:marBottom w:val="0"/>
      <w:divBdr>
        <w:top w:val="none" w:sz="0" w:space="0" w:color="auto"/>
        <w:left w:val="none" w:sz="0" w:space="0" w:color="auto"/>
        <w:bottom w:val="none" w:sz="0" w:space="0" w:color="auto"/>
        <w:right w:val="none" w:sz="0" w:space="0" w:color="auto"/>
      </w:divBdr>
    </w:div>
    <w:div w:id="1043168567">
      <w:bodyDiv w:val="1"/>
      <w:marLeft w:val="0"/>
      <w:marRight w:val="0"/>
      <w:marTop w:val="0"/>
      <w:marBottom w:val="0"/>
      <w:divBdr>
        <w:top w:val="none" w:sz="0" w:space="0" w:color="auto"/>
        <w:left w:val="none" w:sz="0" w:space="0" w:color="auto"/>
        <w:bottom w:val="none" w:sz="0" w:space="0" w:color="auto"/>
        <w:right w:val="none" w:sz="0" w:space="0" w:color="auto"/>
      </w:divBdr>
    </w:div>
    <w:div w:id="1043485007">
      <w:bodyDiv w:val="1"/>
      <w:marLeft w:val="0"/>
      <w:marRight w:val="0"/>
      <w:marTop w:val="0"/>
      <w:marBottom w:val="0"/>
      <w:divBdr>
        <w:top w:val="none" w:sz="0" w:space="0" w:color="auto"/>
        <w:left w:val="none" w:sz="0" w:space="0" w:color="auto"/>
        <w:bottom w:val="none" w:sz="0" w:space="0" w:color="auto"/>
        <w:right w:val="none" w:sz="0" w:space="0" w:color="auto"/>
      </w:divBdr>
    </w:div>
    <w:div w:id="1045375851">
      <w:bodyDiv w:val="1"/>
      <w:marLeft w:val="0"/>
      <w:marRight w:val="0"/>
      <w:marTop w:val="0"/>
      <w:marBottom w:val="0"/>
      <w:divBdr>
        <w:top w:val="none" w:sz="0" w:space="0" w:color="auto"/>
        <w:left w:val="none" w:sz="0" w:space="0" w:color="auto"/>
        <w:bottom w:val="none" w:sz="0" w:space="0" w:color="auto"/>
        <w:right w:val="none" w:sz="0" w:space="0" w:color="auto"/>
      </w:divBdr>
    </w:div>
    <w:div w:id="1047603217">
      <w:bodyDiv w:val="1"/>
      <w:marLeft w:val="0"/>
      <w:marRight w:val="0"/>
      <w:marTop w:val="0"/>
      <w:marBottom w:val="0"/>
      <w:divBdr>
        <w:top w:val="none" w:sz="0" w:space="0" w:color="auto"/>
        <w:left w:val="none" w:sz="0" w:space="0" w:color="auto"/>
        <w:bottom w:val="none" w:sz="0" w:space="0" w:color="auto"/>
        <w:right w:val="none" w:sz="0" w:space="0" w:color="auto"/>
      </w:divBdr>
    </w:div>
    <w:div w:id="1047993872">
      <w:bodyDiv w:val="1"/>
      <w:marLeft w:val="0"/>
      <w:marRight w:val="0"/>
      <w:marTop w:val="0"/>
      <w:marBottom w:val="0"/>
      <w:divBdr>
        <w:top w:val="none" w:sz="0" w:space="0" w:color="auto"/>
        <w:left w:val="none" w:sz="0" w:space="0" w:color="auto"/>
        <w:bottom w:val="none" w:sz="0" w:space="0" w:color="auto"/>
        <w:right w:val="none" w:sz="0" w:space="0" w:color="auto"/>
      </w:divBdr>
    </w:div>
    <w:div w:id="1048342121">
      <w:bodyDiv w:val="1"/>
      <w:marLeft w:val="0"/>
      <w:marRight w:val="0"/>
      <w:marTop w:val="0"/>
      <w:marBottom w:val="0"/>
      <w:divBdr>
        <w:top w:val="none" w:sz="0" w:space="0" w:color="auto"/>
        <w:left w:val="none" w:sz="0" w:space="0" w:color="auto"/>
        <w:bottom w:val="none" w:sz="0" w:space="0" w:color="auto"/>
        <w:right w:val="none" w:sz="0" w:space="0" w:color="auto"/>
      </w:divBdr>
      <w:divsChild>
        <w:div w:id="737443280">
          <w:marLeft w:val="547"/>
          <w:marRight w:val="0"/>
          <w:marTop w:val="0"/>
          <w:marBottom w:val="0"/>
          <w:divBdr>
            <w:top w:val="none" w:sz="0" w:space="0" w:color="auto"/>
            <w:left w:val="none" w:sz="0" w:space="0" w:color="auto"/>
            <w:bottom w:val="none" w:sz="0" w:space="0" w:color="auto"/>
            <w:right w:val="none" w:sz="0" w:space="0" w:color="auto"/>
          </w:divBdr>
        </w:div>
      </w:divsChild>
    </w:div>
    <w:div w:id="1050037908">
      <w:bodyDiv w:val="1"/>
      <w:marLeft w:val="0"/>
      <w:marRight w:val="0"/>
      <w:marTop w:val="0"/>
      <w:marBottom w:val="0"/>
      <w:divBdr>
        <w:top w:val="none" w:sz="0" w:space="0" w:color="auto"/>
        <w:left w:val="none" w:sz="0" w:space="0" w:color="auto"/>
        <w:bottom w:val="none" w:sz="0" w:space="0" w:color="auto"/>
        <w:right w:val="none" w:sz="0" w:space="0" w:color="auto"/>
      </w:divBdr>
    </w:div>
    <w:div w:id="1050349385">
      <w:bodyDiv w:val="1"/>
      <w:marLeft w:val="0"/>
      <w:marRight w:val="0"/>
      <w:marTop w:val="0"/>
      <w:marBottom w:val="0"/>
      <w:divBdr>
        <w:top w:val="none" w:sz="0" w:space="0" w:color="auto"/>
        <w:left w:val="none" w:sz="0" w:space="0" w:color="auto"/>
        <w:bottom w:val="none" w:sz="0" w:space="0" w:color="auto"/>
        <w:right w:val="none" w:sz="0" w:space="0" w:color="auto"/>
      </w:divBdr>
    </w:div>
    <w:div w:id="1054354923">
      <w:bodyDiv w:val="1"/>
      <w:marLeft w:val="0"/>
      <w:marRight w:val="0"/>
      <w:marTop w:val="0"/>
      <w:marBottom w:val="0"/>
      <w:divBdr>
        <w:top w:val="none" w:sz="0" w:space="0" w:color="auto"/>
        <w:left w:val="none" w:sz="0" w:space="0" w:color="auto"/>
        <w:bottom w:val="none" w:sz="0" w:space="0" w:color="auto"/>
        <w:right w:val="none" w:sz="0" w:space="0" w:color="auto"/>
      </w:divBdr>
    </w:div>
    <w:div w:id="1060903943">
      <w:bodyDiv w:val="1"/>
      <w:marLeft w:val="0"/>
      <w:marRight w:val="0"/>
      <w:marTop w:val="0"/>
      <w:marBottom w:val="0"/>
      <w:divBdr>
        <w:top w:val="none" w:sz="0" w:space="0" w:color="auto"/>
        <w:left w:val="none" w:sz="0" w:space="0" w:color="auto"/>
        <w:bottom w:val="none" w:sz="0" w:space="0" w:color="auto"/>
        <w:right w:val="none" w:sz="0" w:space="0" w:color="auto"/>
      </w:divBdr>
    </w:div>
    <w:div w:id="1067652561">
      <w:bodyDiv w:val="1"/>
      <w:marLeft w:val="0"/>
      <w:marRight w:val="0"/>
      <w:marTop w:val="0"/>
      <w:marBottom w:val="0"/>
      <w:divBdr>
        <w:top w:val="none" w:sz="0" w:space="0" w:color="auto"/>
        <w:left w:val="none" w:sz="0" w:space="0" w:color="auto"/>
        <w:bottom w:val="none" w:sz="0" w:space="0" w:color="auto"/>
        <w:right w:val="none" w:sz="0" w:space="0" w:color="auto"/>
      </w:divBdr>
    </w:div>
    <w:div w:id="1073742385">
      <w:bodyDiv w:val="1"/>
      <w:marLeft w:val="0"/>
      <w:marRight w:val="0"/>
      <w:marTop w:val="0"/>
      <w:marBottom w:val="0"/>
      <w:divBdr>
        <w:top w:val="none" w:sz="0" w:space="0" w:color="auto"/>
        <w:left w:val="none" w:sz="0" w:space="0" w:color="auto"/>
        <w:bottom w:val="none" w:sz="0" w:space="0" w:color="auto"/>
        <w:right w:val="none" w:sz="0" w:space="0" w:color="auto"/>
      </w:divBdr>
    </w:div>
    <w:div w:id="1074667816">
      <w:bodyDiv w:val="1"/>
      <w:marLeft w:val="0"/>
      <w:marRight w:val="0"/>
      <w:marTop w:val="0"/>
      <w:marBottom w:val="0"/>
      <w:divBdr>
        <w:top w:val="none" w:sz="0" w:space="0" w:color="auto"/>
        <w:left w:val="none" w:sz="0" w:space="0" w:color="auto"/>
        <w:bottom w:val="none" w:sz="0" w:space="0" w:color="auto"/>
        <w:right w:val="none" w:sz="0" w:space="0" w:color="auto"/>
      </w:divBdr>
    </w:div>
    <w:div w:id="1079595771">
      <w:bodyDiv w:val="1"/>
      <w:marLeft w:val="0"/>
      <w:marRight w:val="0"/>
      <w:marTop w:val="0"/>
      <w:marBottom w:val="0"/>
      <w:divBdr>
        <w:top w:val="none" w:sz="0" w:space="0" w:color="auto"/>
        <w:left w:val="none" w:sz="0" w:space="0" w:color="auto"/>
        <w:bottom w:val="none" w:sz="0" w:space="0" w:color="auto"/>
        <w:right w:val="none" w:sz="0" w:space="0" w:color="auto"/>
      </w:divBdr>
    </w:div>
    <w:div w:id="1080447882">
      <w:bodyDiv w:val="1"/>
      <w:marLeft w:val="0"/>
      <w:marRight w:val="0"/>
      <w:marTop w:val="0"/>
      <w:marBottom w:val="0"/>
      <w:divBdr>
        <w:top w:val="none" w:sz="0" w:space="0" w:color="auto"/>
        <w:left w:val="none" w:sz="0" w:space="0" w:color="auto"/>
        <w:bottom w:val="none" w:sz="0" w:space="0" w:color="auto"/>
        <w:right w:val="none" w:sz="0" w:space="0" w:color="auto"/>
      </w:divBdr>
    </w:div>
    <w:div w:id="1083723440">
      <w:bodyDiv w:val="1"/>
      <w:marLeft w:val="0"/>
      <w:marRight w:val="0"/>
      <w:marTop w:val="0"/>
      <w:marBottom w:val="0"/>
      <w:divBdr>
        <w:top w:val="none" w:sz="0" w:space="0" w:color="auto"/>
        <w:left w:val="none" w:sz="0" w:space="0" w:color="auto"/>
        <w:bottom w:val="none" w:sz="0" w:space="0" w:color="auto"/>
        <w:right w:val="none" w:sz="0" w:space="0" w:color="auto"/>
      </w:divBdr>
    </w:div>
    <w:div w:id="1086270736">
      <w:bodyDiv w:val="1"/>
      <w:marLeft w:val="0"/>
      <w:marRight w:val="0"/>
      <w:marTop w:val="0"/>
      <w:marBottom w:val="0"/>
      <w:divBdr>
        <w:top w:val="none" w:sz="0" w:space="0" w:color="auto"/>
        <w:left w:val="none" w:sz="0" w:space="0" w:color="auto"/>
        <w:bottom w:val="none" w:sz="0" w:space="0" w:color="auto"/>
        <w:right w:val="none" w:sz="0" w:space="0" w:color="auto"/>
      </w:divBdr>
    </w:div>
    <w:div w:id="1096288023">
      <w:bodyDiv w:val="1"/>
      <w:marLeft w:val="0"/>
      <w:marRight w:val="0"/>
      <w:marTop w:val="0"/>
      <w:marBottom w:val="0"/>
      <w:divBdr>
        <w:top w:val="none" w:sz="0" w:space="0" w:color="auto"/>
        <w:left w:val="none" w:sz="0" w:space="0" w:color="auto"/>
        <w:bottom w:val="none" w:sz="0" w:space="0" w:color="auto"/>
        <w:right w:val="none" w:sz="0" w:space="0" w:color="auto"/>
      </w:divBdr>
    </w:div>
    <w:div w:id="1097753642">
      <w:bodyDiv w:val="1"/>
      <w:marLeft w:val="0"/>
      <w:marRight w:val="0"/>
      <w:marTop w:val="0"/>
      <w:marBottom w:val="0"/>
      <w:divBdr>
        <w:top w:val="none" w:sz="0" w:space="0" w:color="auto"/>
        <w:left w:val="none" w:sz="0" w:space="0" w:color="auto"/>
        <w:bottom w:val="none" w:sz="0" w:space="0" w:color="auto"/>
        <w:right w:val="none" w:sz="0" w:space="0" w:color="auto"/>
      </w:divBdr>
    </w:div>
    <w:div w:id="1103502031">
      <w:bodyDiv w:val="1"/>
      <w:marLeft w:val="0"/>
      <w:marRight w:val="0"/>
      <w:marTop w:val="0"/>
      <w:marBottom w:val="0"/>
      <w:divBdr>
        <w:top w:val="none" w:sz="0" w:space="0" w:color="auto"/>
        <w:left w:val="none" w:sz="0" w:space="0" w:color="auto"/>
        <w:bottom w:val="none" w:sz="0" w:space="0" w:color="auto"/>
        <w:right w:val="none" w:sz="0" w:space="0" w:color="auto"/>
      </w:divBdr>
    </w:div>
    <w:div w:id="1111122660">
      <w:bodyDiv w:val="1"/>
      <w:marLeft w:val="0"/>
      <w:marRight w:val="0"/>
      <w:marTop w:val="0"/>
      <w:marBottom w:val="0"/>
      <w:divBdr>
        <w:top w:val="none" w:sz="0" w:space="0" w:color="auto"/>
        <w:left w:val="none" w:sz="0" w:space="0" w:color="auto"/>
        <w:bottom w:val="none" w:sz="0" w:space="0" w:color="auto"/>
        <w:right w:val="none" w:sz="0" w:space="0" w:color="auto"/>
      </w:divBdr>
    </w:div>
    <w:div w:id="1114904331">
      <w:bodyDiv w:val="1"/>
      <w:marLeft w:val="0"/>
      <w:marRight w:val="0"/>
      <w:marTop w:val="0"/>
      <w:marBottom w:val="0"/>
      <w:divBdr>
        <w:top w:val="none" w:sz="0" w:space="0" w:color="auto"/>
        <w:left w:val="none" w:sz="0" w:space="0" w:color="auto"/>
        <w:bottom w:val="none" w:sz="0" w:space="0" w:color="auto"/>
        <w:right w:val="none" w:sz="0" w:space="0" w:color="auto"/>
      </w:divBdr>
    </w:div>
    <w:div w:id="1116867987">
      <w:bodyDiv w:val="1"/>
      <w:marLeft w:val="0"/>
      <w:marRight w:val="0"/>
      <w:marTop w:val="0"/>
      <w:marBottom w:val="0"/>
      <w:divBdr>
        <w:top w:val="none" w:sz="0" w:space="0" w:color="auto"/>
        <w:left w:val="none" w:sz="0" w:space="0" w:color="auto"/>
        <w:bottom w:val="none" w:sz="0" w:space="0" w:color="auto"/>
        <w:right w:val="none" w:sz="0" w:space="0" w:color="auto"/>
      </w:divBdr>
    </w:div>
    <w:div w:id="1119302247">
      <w:bodyDiv w:val="1"/>
      <w:marLeft w:val="0"/>
      <w:marRight w:val="0"/>
      <w:marTop w:val="0"/>
      <w:marBottom w:val="0"/>
      <w:divBdr>
        <w:top w:val="none" w:sz="0" w:space="0" w:color="auto"/>
        <w:left w:val="none" w:sz="0" w:space="0" w:color="auto"/>
        <w:bottom w:val="none" w:sz="0" w:space="0" w:color="auto"/>
        <w:right w:val="none" w:sz="0" w:space="0" w:color="auto"/>
      </w:divBdr>
    </w:div>
    <w:div w:id="1119689137">
      <w:bodyDiv w:val="1"/>
      <w:marLeft w:val="0"/>
      <w:marRight w:val="0"/>
      <w:marTop w:val="0"/>
      <w:marBottom w:val="0"/>
      <w:divBdr>
        <w:top w:val="none" w:sz="0" w:space="0" w:color="auto"/>
        <w:left w:val="none" w:sz="0" w:space="0" w:color="auto"/>
        <w:bottom w:val="none" w:sz="0" w:space="0" w:color="auto"/>
        <w:right w:val="none" w:sz="0" w:space="0" w:color="auto"/>
      </w:divBdr>
    </w:div>
    <w:div w:id="1122961274">
      <w:bodyDiv w:val="1"/>
      <w:marLeft w:val="0"/>
      <w:marRight w:val="0"/>
      <w:marTop w:val="0"/>
      <w:marBottom w:val="0"/>
      <w:divBdr>
        <w:top w:val="none" w:sz="0" w:space="0" w:color="auto"/>
        <w:left w:val="none" w:sz="0" w:space="0" w:color="auto"/>
        <w:bottom w:val="none" w:sz="0" w:space="0" w:color="auto"/>
        <w:right w:val="none" w:sz="0" w:space="0" w:color="auto"/>
      </w:divBdr>
    </w:div>
    <w:div w:id="1134564636">
      <w:bodyDiv w:val="1"/>
      <w:marLeft w:val="0"/>
      <w:marRight w:val="0"/>
      <w:marTop w:val="0"/>
      <w:marBottom w:val="0"/>
      <w:divBdr>
        <w:top w:val="none" w:sz="0" w:space="0" w:color="auto"/>
        <w:left w:val="none" w:sz="0" w:space="0" w:color="auto"/>
        <w:bottom w:val="none" w:sz="0" w:space="0" w:color="auto"/>
        <w:right w:val="none" w:sz="0" w:space="0" w:color="auto"/>
      </w:divBdr>
    </w:div>
    <w:div w:id="1139766620">
      <w:bodyDiv w:val="1"/>
      <w:marLeft w:val="0"/>
      <w:marRight w:val="0"/>
      <w:marTop w:val="0"/>
      <w:marBottom w:val="0"/>
      <w:divBdr>
        <w:top w:val="none" w:sz="0" w:space="0" w:color="auto"/>
        <w:left w:val="none" w:sz="0" w:space="0" w:color="auto"/>
        <w:bottom w:val="none" w:sz="0" w:space="0" w:color="auto"/>
        <w:right w:val="none" w:sz="0" w:space="0" w:color="auto"/>
      </w:divBdr>
    </w:div>
    <w:div w:id="1140031076">
      <w:bodyDiv w:val="1"/>
      <w:marLeft w:val="0"/>
      <w:marRight w:val="0"/>
      <w:marTop w:val="0"/>
      <w:marBottom w:val="0"/>
      <w:divBdr>
        <w:top w:val="none" w:sz="0" w:space="0" w:color="auto"/>
        <w:left w:val="none" w:sz="0" w:space="0" w:color="auto"/>
        <w:bottom w:val="none" w:sz="0" w:space="0" w:color="auto"/>
        <w:right w:val="none" w:sz="0" w:space="0" w:color="auto"/>
      </w:divBdr>
    </w:div>
    <w:div w:id="1152913011">
      <w:bodyDiv w:val="1"/>
      <w:marLeft w:val="0"/>
      <w:marRight w:val="0"/>
      <w:marTop w:val="0"/>
      <w:marBottom w:val="0"/>
      <w:divBdr>
        <w:top w:val="none" w:sz="0" w:space="0" w:color="auto"/>
        <w:left w:val="none" w:sz="0" w:space="0" w:color="auto"/>
        <w:bottom w:val="none" w:sz="0" w:space="0" w:color="auto"/>
        <w:right w:val="none" w:sz="0" w:space="0" w:color="auto"/>
      </w:divBdr>
    </w:div>
    <w:div w:id="1155220920">
      <w:bodyDiv w:val="1"/>
      <w:marLeft w:val="0"/>
      <w:marRight w:val="0"/>
      <w:marTop w:val="0"/>
      <w:marBottom w:val="0"/>
      <w:divBdr>
        <w:top w:val="none" w:sz="0" w:space="0" w:color="auto"/>
        <w:left w:val="none" w:sz="0" w:space="0" w:color="auto"/>
        <w:bottom w:val="none" w:sz="0" w:space="0" w:color="auto"/>
        <w:right w:val="none" w:sz="0" w:space="0" w:color="auto"/>
      </w:divBdr>
    </w:div>
    <w:div w:id="1155730592">
      <w:bodyDiv w:val="1"/>
      <w:marLeft w:val="0"/>
      <w:marRight w:val="0"/>
      <w:marTop w:val="0"/>
      <w:marBottom w:val="0"/>
      <w:divBdr>
        <w:top w:val="none" w:sz="0" w:space="0" w:color="auto"/>
        <w:left w:val="none" w:sz="0" w:space="0" w:color="auto"/>
        <w:bottom w:val="none" w:sz="0" w:space="0" w:color="auto"/>
        <w:right w:val="none" w:sz="0" w:space="0" w:color="auto"/>
      </w:divBdr>
    </w:div>
    <w:div w:id="1171021243">
      <w:bodyDiv w:val="1"/>
      <w:marLeft w:val="0"/>
      <w:marRight w:val="0"/>
      <w:marTop w:val="0"/>
      <w:marBottom w:val="0"/>
      <w:divBdr>
        <w:top w:val="none" w:sz="0" w:space="0" w:color="auto"/>
        <w:left w:val="none" w:sz="0" w:space="0" w:color="auto"/>
        <w:bottom w:val="none" w:sz="0" w:space="0" w:color="auto"/>
        <w:right w:val="none" w:sz="0" w:space="0" w:color="auto"/>
      </w:divBdr>
    </w:div>
    <w:div w:id="1174147734">
      <w:bodyDiv w:val="1"/>
      <w:marLeft w:val="0"/>
      <w:marRight w:val="0"/>
      <w:marTop w:val="0"/>
      <w:marBottom w:val="0"/>
      <w:divBdr>
        <w:top w:val="none" w:sz="0" w:space="0" w:color="auto"/>
        <w:left w:val="none" w:sz="0" w:space="0" w:color="auto"/>
        <w:bottom w:val="none" w:sz="0" w:space="0" w:color="auto"/>
        <w:right w:val="none" w:sz="0" w:space="0" w:color="auto"/>
      </w:divBdr>
    </w:div>
    <w:div w:id="1180002778">
      <w:bodyDiv w:val="1"/>
      <w:marLeft w:val="0"/>
      <w:marRight w:val="0"/>
      <w:marTop w:val="0"/>
      <w:marBottom w:val="0"/>
      <w:divBdr>
        <w:top w:val="none" w:sz="0" w:space="0" w:color="auto"/>
        <w:left w:val="none" w:sz="0" w:space="0" w:color="auto"/>
        <w:bottom w:val="none" w:sz="0" w:space="0" w:color="auto"/>
        <w:right w:val="none" w:sz="0" w:space="0" w:color="auto"/>
      </w:divBdr>
    </w:div>
    <w:div w:id="1187868220">
      <w:bodyDiv w:val="1"/>
      <w:marLeft w:val="0"/>
      <w:marRight w:val="0"/>
      <w:marTop w:val="0"/>
      <w:marBottom w:val="0"/>
      <w:divBdr>
        <w:top w:val="none" w:sz="0" w:space="0" w:color="auto"/>
        <w:left w:val="none" w:sz="0" w:space="0" w:color="auto"/>
        <w:bottom w:val="none" w:sz="0" w:space="0" w:color="auto"/>
        <w:right w:val="none" w:sz="0" w:space="0" w:color="auto"/>
      </w:divBdr>
    </w:div>
    <w:div w:id="1192718627">
      <w:bodyDiv w:val="1"/>
      <w:marLeft w:val="0"/>
      <w:marRight w:val="0"/>
      <w:marTop w:val="0"/>
      <w:marBottom w:val="0"/>
      <w:divBdr>
        <w:top w:val="none" w:sz="0" w:space="0" w:color="auto"/>
        <w:left w:val="none" w:sz="0" w:space="0" w:color="auto"/>
        <w:bottom w:val="none" w:sz="0" w:space="0" w:color="auto"/>
        <w:right w:val="none" w:sz="0" w:space="0" w:color="auto"/>
      </w:divBdr>
    </w:div>
    <w:div w:id="1194347778">
      <w:bodyDiv w:val="1"/>
      <w:marLeft w:val="0"/>
      <w:marRight w:val="0"/>
      <w:marTop w:val="0"/>
      <w:marBottom w:val="0"/>
      <w:divBdr>
        <w:top w:val="none" w:sz="0" w:space="0" w:color="auto"/>
        <w:left w:val="none" w:sz="0" w:space="0" w:color="auto"/>
        <w:bottom w:val="none" w:sz="0" w:space="0" w:color="auto"/>
        <w:right w:val="none" w:sz="0" w:space="0" w:color="auto"/>
      </w:divBdr>
    </w:div>
    <w:div w:id="1200556627">
      <w:bodyDiv w:val="1"/>
      <w:marLeft w:val="0"/>
      <w:marRight w:val="0"/>
      <w:marTop w:val="0"/>
      <w:marBottom w:val="0"/>
      <w:divBdr>
        <w:top w:val="none" w:sz="0" w:space="0" w:color="auto"/>
        <w:left w:val="none" w:sz="0" w:space="0" w:color="auto"/>
        <w:bottom w:val="none" w:sz="0" w:space="0" w:color="auto"/>
        <w:right w:val="none" w:sz="0" w:space="0" w:color="auto"/>
      </w:divBdr>
    </w:div>
    <w:div w:id="1207720569">
      <w:bodyDiv w:val="1"/>
      <w:marLeft w:val="0"/>
      <w:marRight w:val="0"/>
      <w:marTop w:val="0"/>
      <w:marBottom w:val="0"/>
      <w:divBdr>
        <w:top w:val="none" w:sz="0" w:space="0" w:color="auto"/>
        <w:left w:val="none" w:sz="0" w:space="0" w:color="auto"/>
        <w:bottom w:val="none" w:sz="0" w:space="0" w:color="auto"/>
        <w:right w:val="none" w:sz="0" w:space="0" w:color="auto"/>
      </w:divBdr>
    </w:div>
    <w:div w:id="1223520270">
      <w:bodyDiv w:val="1"/>
      <w:marLeft w:val="0"/>
      <w:marRight w:val="0"/>
      <w:marTop w:val="0"/>
      <w:marBottom w:val="0"/>
      <w:divBdr>
        <w:top w:val="none" w:sz="0" w:space="0" w:color="auto"/>
        <w:left w:val="none" w:sz="0" w:space="0" w:color="auto"/>
        <w:bottom w:val="none" w:sz="0" w:space="0" w:color="auto"/>
        <w:right w:val="none" w:sz="0" w:space="0" w:color="auto"/>
      </w:divBdr>
    </w:div>
    <w:div w:id="1232695561">
      <w:bodyDiv w:val="1"/>
      <w:marLeft w:val="0"/>
      <w:marRight w:val="0"/>
      <w:marTop w:val="0"/>
      <w:marBottom w:val="0"/>
      <w:divBdr>
        <w:top w:val="none" w:sz="0" w:space="0" w:color="auto"/>
        <w:left w:val="none" w:sz="0" w:space="0" w:color="auto"/>
        <w:bottom w:val="none" w:sz="0" w:space="0" w:color="auto"/>
        <w:right w:val="none" w:sz="0" w:space="0" w:color="auto"/>
      </w:divBdr>
    </w:div>
    <w:div w:id="1233001330">
      <w:bodyDiv w:val="1"/>
      <w:marLeft w:val="0"/>
      <w:marRight w:val="0"/>
      <w:marTop w:val="0"/>
      <w:marBottom w:val="0"/>
      <w:divBdr>
        <w:top w:val="none" w:sz="0" w:space="0" w:color="auto"/>
        <w:left w:val="none" w:sz="0" w:space="0" w:color="auto"/>
        <w:bottom w:val="none" w:sz="0" w:space="0" w:color="auto"/>
        <w:right w:val="none" w:sz="0" w:space="0" w:color="auto"/>
      </w:divBdr>
    </w:div>
    <w:div w:id="1233781624">
      <w:bodyDiv w:val="1"/>
      <w:marLeft w:val="0"/>
      <w:marRight w:val="0"/>
      <w:marTop w:val="0"/>
      <w:marBottom w:val="0"/>
      <w:divBdr>
        <w:top w:val="none" w:sz="0" w:space="0" w:color="auto"/>
        <w:left w:val="none" w:sz="0" w:space="0" w:color="auto"/>
        <w:bottom w:val="none" w:sz="0" w:space="0" w:color="auto"/>
        <w:right w:val="none" w:sz="0" w:space="0" w:color="auto"/>
      </w:divBdr>
    </w:div>
    <w:div w:id="1237206146">
      <w:bodyDiv w:val="1"/>
      <w:marLeft w:val="0"/>
      <w:marRight w:val="0"/>
      <w:marTop w:val="0"/>
      <w:marBottom w:val="0"/>
      <w:divBdr>
        <w:top w:val="none" w:sz="0" w:space="0" w:color="auto"/>
        <w:left w:val="none" w:sz="0" w:space="0" w:color="auto"/>
        <w:bottom w:val="none" w:sz="0" w:space="0" w:color="auto"/>
        <w:right w:val="none" w:sz="0" w:space="0" w:color="auto"/>
      </w:divBdr>
    </w:div>
    <w:div w:id="1238319811">
      <w:bodyDiv w:val="1"/>
      <w:marLeft w:val="0"/>
      <w:marRight w:val="0"/>
      <w:marTop w:val="0"/>
      <w:marBottom w:val="0"/>
      <w:divBdr>
        <w:top w:val="none" w:sz="0" w:space="0" w:color="auto"/>
        <w:left w:val="none" w:sz="0" w:space="0" w:color="auto"/>
        <w:bottom w:val="none" w:sz="0" w:space="0" w:color="auto"/>
        <w:right w:val="none" w:sz="0" w:space="0" w:color="auto"/>
      </w:divBdr>
    </w:div>
    <w:div w:id="1243754339">
      <w:bodyDiv w:val="1"/>
      <w:marLeft w:val="0"/>
      <w:marRight w:val="0"/>
      <w:marTop w:val="0"/>
      <w:marBottom w:val="0"/>
      <w:divBdr>
        <w:top w:val="none" w:sz="0" w:space="0" w:color="auto"/>
        <w:left w:val="none" w:sz="0" w:space="0" w:color="auto"/>
        <w:bottom w:val="none" w:sz="0" w:space="0" w:color="auto"/>
        <w:right w:val="none" w:sz="0" w:space="0" w:color="auto"/>
      </w:divBdr>
    </w:div>
    <w:div w:id="1250696694">
      <w:bodyDiv w:val="1"/>
      <w:marLeft w:val="0"/>
      <w:marRight w:val="0"/>
      <w:marTop w:val="0"/>
      <w:marBottom w:val="0"/>
      <w:divBdr>
        <w:top w:val="none" w:sz="0" w:space="0" w:color="auto"/>
        <w:left w:val="none" w:sz="0" w:space="0" w:color="auto"/>
        <w:bottom w:val="none" w:sz="0" w:space="0" w:color="auto"/>
        <w:right w:val="none" w:sz="0" w:space="0" w:color="auto"/>
      </w:divBdr>
    </w:div>
    <w:div w:id="1256595082">
      <w:bodyDiv w:val="1"/>
      <w:marLeft w:val="0"/>
      <w:marRight w:val="0"/>
      <w:marTop w:val="0"/>
      <w:marBottom w:val="0"/>
      <w:divBdr>
        <w:top w:val="none" w:sz="0" w:space="0" w:color="auto"/>
        <w:left w:val="none" w:sz="0" w:space="0" w:color="auto"/>
        <w:bottom w:val="none" w:sz="0" w:space="0" w:color="auto"/>
        <w:right w:val="none" w:sz="0" w:space="0" w:color="auto"/>
      </w:divBdr>
    </w:div>
    <w:div w:id="1264877220">
      <w:bodyDiv w:val="1"/>
      <w:marLeft w:val="0"/>
      <w:marRight w:val="0"/>
      <w:marTop w:val="0"/>
      <w:marBottom w:val="0"/>
      <w:divBdr>
        <w:top w:val="none" w:sz="0" w:space="0" w:color="auto"/>
        <w:left w:val="none" w:sz="0" w:space="0" w:color="auto"/>
        <w:bottom w:val="none" w:sz="0" w:space="0" w:color="auto"/>
        <w:right w:val="none" w:sz="0" w:space="0" w:color="auto"/>
      </w:divBdr>
    </w:div>
    <w:div w:id="1267149896">
      <w:bodyDiv w:val="1"/>
      <w:marLeft w:val="0"/>
      <w:marRight w:val="0"/>
      <w:marTop w:val="0"/>
      <w:marBottom w:val="0"/>
      <w:divBdr>
        <w:top w:val="none" w:sz="0" w:space="0" w:color="auto"/>
        <w:left w:val="none" w:sz="0" w:space="0" w:color="auto"/>
        <w:bottom w:val="none" w:sz="0" w:space="0" w:color="auto"/>
        <w:right w:val="none" w:sz="0" w:space="0" w:color="auto"/>
      </w:divBdr>
    </w:div>
    <w:div w:id="1267733133">
      <w:bodyDiv w:val="1"/>
      <w:marLeft w:val="0"/>
      <w:marRight w:val="0"/>
      <w:marTop w:val="0"/>
      <w:marBottom w:val="0"/>
      <w:divBdr>
        <w:top w:val="none" w:sz="0" w:space="0" w:color="auto"/>
        <w:left w:val="none" w:sz="0" w:space="0" w:color="auto"/>
        <w:bottom w:val="none" w:sz="0" w:space="0" w:color="auto"/>
        <w:right w:val="none" w:sz="0" w:space="0" w:color="auto"/>
      </w:divBdr>
    </w:div>
    <w:div w:id="1268385887">
      <w:bodyDiv w:val="1"/>
      <w:marLeft w:val="0"/>
      <w:marRight w:val="0"/>
      <w:marTop w:val="0"/>
      <w:marBottom w:val="0"/>
      <w:divBdr>
        <w:top w:val="none" w:sz="0" w:space="0" w:color="auto"/>
        <w:left w:val="none" w:sz="0" w:space="0" w:color="auto"/>
        <w:bottom w:val="none" w:sz="0" w:space="0" w:color="auto"/>
        <w:right w:val="none" w:sz="0" w:space="0" w:color="auto"/>
      </w:divBdr>
    </w:div>
    <w:div w:id="1276912596">
      <w:bodyDiv w:val="1"/>
      <w:marLeft w:val="0"/>
      <w:marRight w:val="0"/>
      <w:marTop w:val="0"/>
      <w:marBottom w:val="0"/>
      <w:divBdr>
        <w:top w:val="none" w:sz="0" w:space="0" w:color="auto"/>
        <w:left w:val="none" w:sz="0" w:space="0" w:color="auto"/>
        <w:bottom w:val="none" w:sz="0" w:space="0" w:color="auto"/>
        <w:right w:val="none" w:sz="0" w:space="0" w:color="auto"/>
      </w:divBdr>
    </w:div>
    <w:div w:id="1277755587">
      <w:bodyDiv w:val="1"/>
      <w:marLeft w:val="0"/>
      <w:marRight w:val="0"/>
      <w:marTop w:val="0"/>
      <w:marBottom w:val="0"/>
      <w:divBdr>
        <w:top w:val="none" w:sz="0" w:space="0" w:color="auto"/>
        <w:left w:val="none" w:sz="0" w:space="0" w:color="auto"/>
        <w:bottom w:val="none" w:sz="0" w:space="0" w:color="auto"/>
        <w:right w:val="none" w:sz="0" w:space="0" w:color="auto"/>
      </w:divBdr>
    </w:div>
    <w:div w:id="1281259865">
      <w:bodyDiv w:val="1"/>
      <w:marLeft w:val="0"/>
      <w:marRight w:val="0"/>
      <w:marTop w:val="0"/>
      <w:marBottom w:val="0"/>
      <w:divBdr>
        <w:top w:val="none" w:sz="0" w:space="0" w:color="auto"/>
        <w:left w:val="none" w:sz="0" w:space="0" w:color="auto"/>
        <w:bottom w:val="none" w:sz="0" w:space="0" w:color="auto"/>
        <w:right w:val="none" w:sz="0" w:space="0" w:color="auto"/>
      </w:divBdr>
    </w:div>
    <w:div w:id="1283154524">
      <w:bodyDiv w:val="1"/>
      <w:marLeft w:val="0"/>
      <w:marRight w:val="0"/>
      <w:marTop w:val="0"/>
      <w:marBottom w:val="0"/>
      <w:divBdr>
        <w:top w:val="none" w:sz="0" w:space="0" w:color="auto"/>
        <w:left w:val="none" w:sz="0" w:space="0" w:color="auto"/>
        <w:bottom w:val="none" w:sz="0" w:space="0" w:color="auto"/>
        <w:right w:val="none" w:sz="0" w:space="0" w:color="auto"/>
      </w:divBdr>
    </w:div>
    <w:div w:id="1289094412">
      <w:bodyDiv w:val="1"/>
      <w:marLeft w:val="0"/>
      <w:marRight w:val="0"/>
      <w:marTop w:val="0"/>
      <w:marBottom w:val="0"/>
      <w:divBdr>
        <w:top w:val="none" w:sz="0" w:space="0" w:color="auto"/>
        <w:left w:val="none" w:sz="0" w:space="0" w:color="auto"/>
        <w:bottom w:val="none" w:sz="0" w:space="0" w:color="auto"/>
        <w:right w:val="none" w:sz="0" w:space="0" w:color="auto"/>
      </w:divBdr>
    </w:div>
    <w:div w:id="1289749648">
      <w:bodyDiv w:val="1"/>
      <w:marLeft w:val="0"/>
      <w:marRight w:val="0"/>
      <w:marTop w:val="0"/>
      <w:marBottom w:val="0"/>
      <w:divBdr>
        <w:top w:val="none" w:sz="0" w:space="0" w:color="auto"/>
        <w:left w:val="none" w:sz="0" w:space="0" w:color="auto"/>
        <w:bottom w:val="none" w:sz="0" w:space="0" w:color="auto"/>
        <w:right w:val="none" w:sz="0" w:space="0" w:color="auto"/>
      </w:divBdr>
    </w:div>
    <w:div w:id="1293172519">
      <w:bodyDiv w:val="1"/>
      <w:marLeft w:val="0"/>
      <w:marRight w:val="0"/>
      <w:marTop w:val="0"/>
      <w:marBottom w:val="0"/>
      <w:divBdr>
        <w:top w:val="none" w:sz="0" w:space="0" w:color="auto"/>
        <w:left w:val="none" w:sz="0" w:space="0" w:color="auto"/>
        <w:bottom w:val="none" w:sz="0" w:space="0" w:color="auto"/>
        <w:right w:val="none" w:sz="0" w:space="0" w:color="auto"/>
      </w:divBdr>
    </w:div>
    <w:div w:id="1293290474">
      <w:bodyDiv w:val="1"/>
      <w:marLeft w:val="0"/>
      <w:marRight w:val="0"/>
      <w:marTop w:val="0"/>
      <w:marBottom w:val="0"/>
      <w:divBdr>
        <w:top w:val="none" w:sz="0" w:space="0" w:color="auto"/>
        <w:left w:val="none" w:sz="0" w:space="0" w:color="auto"/>
        <w:bottom w:val="none" w:sz="0" w:space="0" w:color="auto"/>
        <w:right w:val="none" w:sz="0" w:space="0" w:color="auto"/>
      </w:divBdr>
    </w:div>
    <w:div w:id="1294169646">
      <w:bodyDiv w:val="1"/>
      <w:marLeft w:val="0"/>
      <w:marRight w:val="0"/>
      <w:marTop w:val="0"/>
      <w:marBottom w:val="0"/>
      <w:divBdr>
        <w:top w:val="none" w:sz="0" w:space="0" w:color="auto"/>
        <w:left w:val="none" w:sz="0" w:space="0" w:color="auto"/>
        <w:bottom w:val="none" w:sz="0" w:space="0" w:color="auto"/>
        <w:right w:val="none" w:sz="0" w:space="0" w:color="auto"/>
      </w:divBdr>
    </w:div>
    <w:div w:id="1299804090">
      <w:bodyDiv w:val="1"/>
      <w:marLeft w:val="0"/>
      <w:marRight w:val="0"/>
      <w:marTop w:val="0"/>
      <w:marBottom w:val="0"/>
      <w:divBdr>
        <w:top w:val="none" w:sz="0" w:space="0" w:color="auto"/>
        <w:left w:val="none" w:sz="0" w:space="0" w:color="auto"/>
        <w:bottom w:val="none" w:sz="0" w:space="0" w:color="auto"/>
        <w:right w:val="none" w:sz="0" w:space="0" w:color="auto"/>
      </w:divBdr>
    </w:div>
    <w:div w:id="1301689180">
      <w:bodyDiv w:val="1"/>
      <w:marLeft w:val="0"/>
      <w:marRight w:val="0"/>
      <w:marTop w:val="0"/>
      <w:marBottom w:val="0"/>
      <w:divBdr>
        <w:top w:val="none" w:sz="0" w:space="0" w:color="auto"/>
        <w:left w:val="none" w:sz="0" w:space="0" w:color="auto"/>
        <w:bottom w:val="none" w:sz="0" w:space="0" w:color="auto"/>
        <w:right w:val="none" w:sz="0" w:space="0" w:color="auto"/>
      </w:divBdr>
    </w:div>
    <w:div w:id="1304118856">
      <w:bodyDiv w:val="1"/>
      <w:marLeft w:val="0"/>
      <w:marRight w:val="0"/>
      <w:marTop w:val="0"/>
      <w:marBottom w:val="0"/>
      <w:divBdr>
        <w:top w:val="none" w:sz="0" w:space="0" w:color="auto"/>
        <w:left w:val="none" w:sz="0" w:space="0" w:color="auto"/>
        <w:bottom w:val="none" w:sz="0" w:space="0" w:color="auto"/>
        <w:right w:val="none" w:sz="0" w:space="0" w:color="auto"/>
      </w:divBdr>
    </w:div>
    <w:div w:id="1322199609">
      <w:bodyDiv w:val="1"/>
      <w:marLeft w:val="0"/>
      <w:marRight w:val="0"/>
      <w:marTop w:val="0"/>
      <w:marBottom w:val="0"/>
      <w:divBdr>
        <w:top w:val="none" w:sz="0" w:space="0" w:color="auto"/>
        <w:left w:val="none" w:sz="0" w:space="0" w:color="auto"/>
        <w:bottom w:val="none" w:sz="0" w:space="0" w:color="auto"/>
        <w:right w:val="none" w:sz="0" w:space="0" w:color="auto"/>
      </w:divBdr>
    </w:div>
    <w:div w:id="1322730911">
      <w:bodyDiv w:val="1"/>
      <w:marLeft w:val="0"/>
      <w:marRight w:val="0"/>
      <w:marTop w:val="0"/>
      <w:marBottom w:val="0"/>
      <w:divBdr>
        <w:top w:val="none" w:sz="0" w:space="0" w:color="auto"/>
        <w:left w:val="none" w:sz="0" w:space="0" w:color="auto"/>
        <w:bottom w:val="none" w:sz="0" w:space="0" w:color="auto"/>
        <w:right w:val="none" w:sz="0" w:space="0" w:color="auto"/>
      </w:divBdr>
    </w:div>
    <w:div w:id="1329216570">
      <w:bodyDiv w:val="1"/>
      <w:marLeft w:val="0"/>
      <w:marRight w:val="0"/>
      <w:marTop w:val="0"/>
      <w:marBottom w:val="0"/>
      <w:divBdr>
        <w:top w:val="none" w:sz="0" w:space="0" w:color="auto"/>
        <w:left w:val="none" w:sz="0" w:space="0" w:color="auto"/>
        <w:bottom w:val="none" w:sz="0" w:space="0" w:color="auto"/>
        <w:right w:val="none" w:sz="0" w:space="0" w:color="auto"/>
      </w:divBdr>
    </w:div>
    <w:div w:id="1330987674">
      <w:bodyDiv w:val="1"/>
      <w:marLeft w:val="0"/>
      <w:marRight w:val="0"/>
      <w:marTop w:val="0"/>
      <w:marBottom w:val="0"/>
      <w:divBdr>
        <w:top w:val="none" w:sz="0" w:space="0" w:color="auto"/>
        <w:left w:val="none" w:sz="0" w:space="0" w:color="auto"/>
        <w:bottom w:val="none" w:sz="0" w:space="0" w:color="auto"/>
        <w:right w:val="none" w:sz="0" w:space="0" w:color="auto"/>
      </w:divBdr>
    </w:div>
    <w:div w:id="1333407950">
      <w:bodyDiv w:val="1"/>
      <w:marLeft w:val="0"/>
      <w:marRight w:val="0"/>
      <w:marTop w:val="0"/>
      <w:marBottom w:val="0"/>
      <w:divBdr>
        <w:top w:val="none" w:sz="0" w:space="0" w:color="auto"/>
        <w:left w:val="none" w:sz="0" w:space="0" w:color="auto"/>
        <w:bottom w:val="none" w:sz="0" w:space="0" w:color="auto"/>
        <w:right w:val="none" w:sz="0" w:space="0" w:color="auto"/>
      </w:divBdr>
    </w:div>
    <w:div w:id="1338578267">
      <w:bodyDiv w:val="1"/>
      <w:marLeft w:val="0"/>
      <w:marRight w:val="0"/>
      <w:marTop w:val="0"/>
      <w:marBottom w:val="0"/>
      <w:divBdr>
        <w:top w:val="none" w:sz="0" w:space="0" w:color="auto"/>
        <w:left w:val="none" w:sz="0" w:space="0" w:color="auto"/>
        <w:bottom w:val="none" w:sz="0" w:space="0" w:color="auto"/>
        <w:right w:val="none" w:sz="0" w:space="0" w:color="auto"/>
      </w:divBdr>
    </w:div>
    <w:div w:id="1345598524">
      <w:bodyDiv w:val="1"/>
      <w:marLeft w:val="0"/>
      <w:marRight w:val="0"/>
      <w:marTop w:val="0"/>
      <w:marBottom w:val="0"/>
      <w:divBdr>
        <w:top w:val="none" w:sz="0" w:space="0" w:color="auto"/>
        <w:left w:val="none" w:sz="0" w:space="0" w:color="auto"/>
        <w:bottom w:val="none" w:sz="0" w:space="0" w:color="auto"/>
        <w:right w:val="none" w:sz="0" w:space="0" w:color="auto"/>
      </w:divBdr>
    </w:div>
    <w:div w:id="1354458931">
      <w:bodyDiv w:val="1"/>
      <w:marLeft w:val="0"/>
      <w:marRight w:val="0"/>
      <w:marTop w:val="0"/>
      <w:marBottom w:val="0"/>
      <w:divBdr>
        <w:top w:val="none" w:sz="0" w:space="0" w:color="auto"/>
        <w:left w:val="none" w:sz="0" w:space="0" w:color="auto"/>
        <w:bottom w:val="none" w:sz="0" w:space="0" w:color="auto"/>
        <w:right w:val="none" w:sz="0" w:space="0" w:color="auto"/>
      </w:divBdr>
    </w:div>
    <w:div w:id="1360740650">
      <w:bodyDiv w:val="1"/>
      <w:marLeft w:val="0"/>
      <w:marRight w:val="0"/>
      <w:marTop w:val="0"/>
      <w:marBottom w:val="0"/>
      <w:divBdr>
        <w:top w:val="none" w:sz="0" w:space="0" w:color="auto"/>
        <w:left w:val="none" w:sz="0" w:space="0" w:color="auto"/>
        <w:bottom w:val="none" w:sz="0" w:space="0" w:color="auto"/>
        <w:right w:val="none" w:sz="0" w:space="0" w:color="auto"/>
      </w:divBdr>
    </w:div>
    <w:div w:id="1364360163">
      <w:bodyDiv w:val="1"/>
      <w:marLeft w:val="0"/>
      <w:marRight w:val="0"/>
      <w:marTop w:val="0"/>
      <w:marBottom w:val="0"/>
      <w:divBdr>
        <w:top w:val="none" w:sz="0" w:space="0" w:color="auto"/>
        <w:left w:val="none" w:sz="0" w:space="0" w:color="auto"/>
        <w:bottom w:val="none" w:sz="0" w:space="0" w:color="auto"/>
        <w:right w:val="none" w:sz="0" w:space="0" w:color="auto"/>
      </w:divBdr>
    </w:div>
    <w:div w:id="1375930034">
      <w:bodyDiv w:val="1"/>
      <w:marLeft w:val="0"/>
      <w:marRight w:val="0"/>
      <w:marTop w:val="0"/>
      <w:marBottom w:val="0"/>
      <w:divBdr>
        <w:top w:val="none" w:sz="0" w:space="0" w:color="auto"/>
        <w:left w:val="none" w:sz="0" w:space="0" w:color="auto"/>
        <w:bottom w:val="none" w:sz="0" w:space="0" w:color="auto"/>
        <w:right w:val="none" w:sz="0" w:space="0" w:color="auto"/>
      </w:divBdr>
    </w:div>
    <w:div w:id="1380741975">
      <w:bodyDiv w:val="1"/>
      <w:marLeft w:val="0"/>
      <w:marRight w:val="0"/>
      <w:marTop w:val="0"/>
      <w:marBottom w:val="0"/>
      <w:divBdr>
        <w:top w:val="none" w:sz="0" w:space="0" w:color="auto"/>
        <w:left w:val="none" w:sz="0" w:space="0" w:color="auto"/>
        <w:bottom w:val="none" w:sz="0" w:space="0" w:color="auto"/>
        <w:right w:val="none" w:sz="0" w:space="0" w:color="auto"/>
      </w:divBdr>
    </w:div>
    <w:div w:id="1382903124">
      <w:bodyDiv w:val="1"/>
      <w:marLeft w:val="0"/>
      <w:marRight w:val="0"/>
      <w:marTop w:val="0"/>
      <w:marBottom w:val="0"/>
      <w:divBdr>
        <w:top w:val="none" w:sz="0" w:space="0" w:color="auto"/>
        <w:left w:val="none" w:sz="0" w:space="0" w:color="auto"/>
        <w:bottom w:val="none" w:sz="0" w:space="0" w:color="auto"/>
        <w:right w:val="none" w:sz="0" w:space="0" w:color="auto"/>
      </w:divBdr>
    </w:div>
    <w:div w:id="1386484383">
      <w:bodyDiv w:val="1"/>
      <w:marLeft w:val="0"/>
      <w:marRight w:val="0"/>
      <w:marTop w:val="0"/>
      <w:marBottom w:val="0"/>
      <w:divBdr>
        <w:top w:val="none" w:sz="0" w:space="0" w:color="auto"/>
        <w:left w:val="none" w:sz="0" w:space="0" w:color="auto"/>
        <w:bottom w:val="none" w:sz="0" w:space="0" w:color="auto"/>
        <w:right w:val="none" w:sz="0" w:space="0" w:color="auto"/>
      </w:divBdr>
    </w:div>
    <w:div w:id="1387030691">
      <w:bodyDiv w:val="1"/>
      <w:marLeft w:val="0"/>
      <w:marRight w:val="0"/>
      <w:marTop w:val="0"/>
      <w:marBottom w:val="0"/>
      <w:divBdr>
        <w:top w:val="none" w:sz="0" w:space="0" w:color="auto"/>
        <w:left w:val="none" w:sz="0" w:space="0" w:color="auto"/>
        <w:bottom w:val="none" w:sz="0" w:space="0" w:color="auto"/>
        <w:right w:val="none" w:sz="0" w:space="0" w:color="auto"/>
      </w:divBdr>
    </w:div>
    <w:div w:id="1387411042">
      <w:bodyDiv w:val="1"/>
      <w:marLeft w:val="0"/>
      <w:marRight w:val="0"/>
      <w:marTop w:val="0"/>
      <w:marBottom w:val="0"/>
      <w:divBdr>
        <w:top w:val="none" w:sz="0" w:space="0" w:color="auto"/>
        <w:left w:val="none" w:sz="0" w:space="0" w:color="auto"/>
        <w:bottom w:val="none" w:sz="0" w:space="0" w:color="auto"/>
        <w:right w:val="none" w:sz="0" w:space="0" w:color="auto"/>
      </w:divBdr>
    </w:div>
    <w:div w:id="1391997362">
      <w:bodyDiv w:val="1"/>
      <w:marLeft w:val="0"/>
      <w:marRight w:val="0"/>
      <w:marTop w:val="0"/>
      <w:marBottom w:val="0"/>
      <w:divBdr>
        <w:top w:val="none" w:sz="0" w:space="0" w:color="auto"/>
        <w:left w:val="none" w:sz="0" w:space="0" w:color="auto"/>
        <w:bottom w:val="none" w:sz="0" w:space="0" w:color="auto"/>
        <w:right w:val="none" w:sz="0" w:space="0" w:color="auto"/>
      </w:divBdr>
    </w:div>
    <w:div w:id="1402824889">
      <w:bodyDiv w:val="1"/>
      <w:marLeft w:val="0"/>
      <w:marRight w:val="0"/>
      <w:marTop w:val="0"/>
      <w:marBottom w:val="0"/>
      <w:divBdr>
        <w:top w:val="none" w:sz="0" w:space="0" w:color="auto"/>
        <w:left w:val="none" w:sz="0" w:space="0" w:color="auto"/>
        <w:bottom w:val="none" w:sz="0" w:space="0" w:color="auto"/>
        <w:right w:val="none" w:sz="0" w:space="0" w:color="auto"/>
      </w:divBdr>
    </w:div>
    <w:div w:id="1404793032">
      <w:bodyDiv w:val="1"/>
      <w:marLeft w:val="0"/>
      <w:marRight w:val="0"/>
      <w:marTop w:val="0"/>
      <w:marBottom w:val="0"/>
      <w:divBdr>
        <w:top w:val="none" w:sz="0" w:space="0" w:color="auto"/>
        <w:left w:val="none" w:sz="0" w:space="0" w:color="auto"/>
        <w:bottom w:val="none" w:sz="0" w:space="0" w:color="auto"/>
        <w:right w:val="none" w:sz="0" w:space="0" w:color="auto"/>
      </w:divBdr>
    </w:div>
    <w:div w:id="1415709479">
      <w:bodyDiv w:val="1"/>
      <w:marLeft w:val="0"/>
      <w:marRight w:val="0"/>
      <w:marTop w:val="0"/>
      <w:marBottom w:val="0"/>
      <w:divBdr>
        <w:top w:val="none" w:sz="0" w:space="0" w:color="auto"/>
        <w:left w:val="none" w:sz="0" w:space="0" w:color="auto"/>
        <w:bottom w:val="none" w:sz="0" w:space="0" w:color="auto"/>
        <w:right w:val="none" w:sz="0" w:space="0" w:color="auto"/>
      </w:divBdr>
    </w:div>
    <w:div w:id="1416976483">
      <w:bodyDiv w:val="1"/>
      <w:marLeft w:val="0"/>
      <w:marRight w:val="0"/>
      <w:marTop w:val="0"/>
      <w:marBottom w:val="0"/>
      <w:divBdr>
        <w:top w:val="none" w:sz="0" w:space="0" w:color="auto"/>
        <w:left w:val="none" w:sz="0" w:space="0" w:color="auto"/>
        <w:bottom w:val="none" w:sz="0" w:space="0" w:color="auto"/>
        <w:right w:val="none" w:sz="0" w:space="0" w:color="auto"/>
      </w:divBdr>
    </w:div>
    <w:div w:id="1427771279">
      <w:bodyDiv w:val="1"/>
      <w:marLeft w:val="0"/>
      <w:marRight w:val="0"/>
      <w:marTop w:val="0"/>
      <w:marBottom w:val="0"/>
      <w:divBdr>
        <w:top w:val="none" w:sz="0" w:space="0" w:color="auto"/>
        <w:left w:val="none" w:sz="0" w:space="0" w:color="auto"/>
        <w:bottom w:val="none" w:sz="0" w:space="0" w:color="auto"/>
        <w:right w:val="none" w:sz="0" w:space="0" w:color="auto"/>
      </w:divBdr>
    </w:div>
    <w:div w:id="1428502922">
      <w:bodyDiv w:val="1"/>
      <w:marLeft w:val="0"/>
      <w:marRight w:val="0"/>
      <w:marTop w:val="0"/>
      <w:marBottom w:val="0"/>
      <w:divBdr>
        <w:top w:val="none" w:sz="0" w:space="0" w:color="auto"/>
        <w:left w:val="none" w:sz="0" w:space="0" w:color="auto"/>
        <w:bottom w:val="none" w:sz="0" w:space="0" w:color="auto"/>
        <w:right w:val="none" w:sz="0" w:space="0" w:color="auto"/>
      </w:divBdr>
    </w:div>
    <w:div w:id="1439712284">
      <w:bodyDiv w:val="1"/>
      <w:marLeft w:val="0"/>
      <w:marRight w:val="0"/>
      <w:marTop w:val="0"/>
      <w:marBottom w:val="0"/>
      <w:divBdr>
        <w:top w:val="none" w:sz="0" w:space="0" w:color="auto"/>
        <w:left w:val="none" w:sz="0" w:space="0" w:color="auto"/>
        <w:bottom w:val="none" w:sz="0" w:space="0" w:color="auto"/>
        <w:right w:val="none" w:sz="0" w:space="0" w:color="auto"/>
      </w:divBdr>
    </w:div>
    <w:div w:id="1444569721">
      <w:bodyDiv w:val="1"/>
      <w:marLeft w:val="0"/>
      <w:marRight w:val="0"/>
      <w:marTop w:val="0"/>
      <w:marBottom w:val="0"/>
      <w:divBdr>
        <w:top w:val="none" w:sz="0" w:space="0" w:color="auto"/>
        <w:left w:val="none" w:sz="0" w:space="0" w:color="auto"/>
        <w:bottom w:val="none" w:sz="0" w:space="0" w:color="auto"/>
        <w:right w:val="none" w:sz="0" w:space="0" w:color="auto"/>
      </w:divBdr>
    </w:div>
    <w:div w:id="1445270994">
      <w:bodyDiv w:val="1"/>
      <w:marLeft w:val="0"/>
      <w:marRight w:val="0"/>
      <w:marTop w:val="0"/>
      <w:marBottom w:val="0"/>
      <w:divBdr>
        <w:top w:val="none" w:sz="0" w:space="0" w:color="auto"/>
        <w:left w:val="none" w:sz="0" w:space="0" w:color="auto"/>
        <w:bottom w:val="none" w:sz="0" w:space="0" w:color="auto"/>
        <w:right w:val="none" w:sz="0" w:space="0" w:color="auto"/>
      </w:divBdr>
    </w:div>
    <w:div w:id="1450004736">
      <w:bodyDiv w:val="1"/>
      <w:marLeft w:val="0"/>
      <w:marRight w:val="0"/>
      <w:marTop w:val="0"/>
      <w:marBottom w:val="0"/>
      <w:divBdr>
        <w:top w:val="none" w:sz="0" w:space="0" w:color="auto"/>
        <w:left w:val="none" w:sz="0" w:space="0" w:color="auto"/>
        <w:bottom w:val="none" w:sz="0" w:space="0" w:color="auto"/>
        <w:right w:val="none" w:sz="0" w:space="0" w:color="auto"/>
      </w:divBdr>
    </w:div>
    <w:div w:id="1451438469">
      <w:bodyDiv w:val="1"/>
      <w:marLeft w:val="0"/>
      <w:marRight w:val="0"/>
      <w:marTop w:val="0"/>
      <w:marBottom w:val="0"/>
      <w:divBdr>
        <w:top w:val="none" w:sz="0" w:space="0" w:color="auto"/>
        <w:left w:val="none" w:sz="0" w:space="0" w:color="auto"/>
        <w:bottom w:val="none" w:sz="0" w:space="0" w:color="auto"/>
        <w:right w:val="none" w:sz="0" w:space="0" w:color="auto"/>
      </w:divBdr>
    </w:div>
    <w:div w:id="1451707489">
      <w:bodyDiv w:val="1"/>
      <w:marLeft w:val="0"/>
      <w:marRight w:val="0"/>
      <w:marTop w:val="0"/>
      <w:marBottom w:val="0"/>
      <w:divBdr>
        <w:top w:val="none" w:sz="0" w:space="0" w:color="auto"/>
        <w:left w:val="none" w:sz="0" w:space="0" w:color="auto"/>
        <w:bottom w:val="none" w:sz="0" w:space="0" w:color="auto"/>
        <w:right w:val="none" w:sz="0" w:space="0" w:color="auto"/>
      </w:divBdr>
    </w:div>
    <w:div w:id="1460566317">
      <w:bodyDiv w:val="1"/>
      <w:marLeft w:val="0"/>
      <w:marRight w:val="0"/>
      <w:marTop w:val="0"/>
      <w:marBottom w:val="0"/>
      <w:divBdr>
        <w:top w:val="none" w:sz="0" w:space="0" w:color="auto"/>
        <w:left w:val="none" w:sz="0" w:space="0" w:color="auto"/>
        <w:bottom w:val="none" w:sz="0" w:space="0" w:color="auto"/>
        <w:right w:val="none" w:sz="0" w:space="0" w:color="auto"/>
      </w:divBdr>
    </w:div>
    <w:div w:id="1461344534">
      <w:bodyDiv w:val="1"/>
      <w:marLeft w:val="0"/>
      <w:marRight w:val="0"/>
      <w:marTop w:val="0"/>
      <w:marBottom w:val="0"/>
      <w:divBdr>
        <w:top w:val="none" w:sz="0" w:space="0" w:color="auto"/>
        <w:left w:val="none" w:sz="0" w:space="0" w:color="auto"/>
        <w:bottom w:val="none" w:sz="0" w:space="0" w:color="auto"/>
        <w:right w:val="none" w:sz="0" w:space="0" w:color="auto"/>
      </w:divBdr>
    </w:div>
    <w:div w:id="1461727169">
      <w:bodyDiv w:val="1"/>
      <w:marLeft w:val="0"/>
      <w:marRight w:val="0"/>
      <w:marTop w:val="0"/>
      <w:marBottom w:val="0"/>
      <w:divBdr>
        <w:top w:val="none" w:sz="0" w:space="0" w:color="auto"/>
        <w:left w:val="none" w:sz="0" w:space="0" w:color="auto"/>
        <w:bottom w:val="none" w:sz="0" w:space="0" w:color="auto"/>
        <w:right w:val="none" w:sz="0" w:space="0" w:color="auto"/>
      </w:divBdr>
    </w:div>
    <w:div w:id="1462990770">
      <w:bodyDiv w:val="1"/>
      <w:marLeft w:val="0"/>
      <w:marRight w:val="0"/>
      <w:marTop w:val="0"/>
      <w:marBottom w:val="0"/>
      <w:divBdr>
        <w:top w:val="none" w:sz="0" w:space="0" w:color="auto"/>
        <w:left w:val="none" w:sz="0" w:space="0" w:color="auto"/>
        <w:bottom w:val="none" w:sz="0" w:space="0" w:color="auto"/>
        <w:right w:val="none" w:sz="0" w:space="0" w:color="auto"/>
      </w:divBdr>
    </w:div>
    <w:div w:id="1465272926">
      <w:bodyDiv w:val="1"/>
      <w:marLeft w:val="0"/>
      <w:marRight w:val="0"/>
      <w:marTop w:val="0"/>
      <w:marBottom w:val="0"/>
      <w:divBdr>
        <w:top w:val="none" w:sz="0" w:space="0" w:color="auto"/>
        <w:left w:val="none" w:sz="0" w:space="0" w:color="auto"/>
        <w:bottom w:val="none" w:sz="0" w:space="0" w:color="auto"/>
        <w:right w:val="none" w:sz="0" w:space="0" w:color="auto"/>
      </w:divBdr>
    </w:div>
    <w:div w:id="1465543926">
      <w:bodyDiv w:val="1"/>
      <w:marLeft w:val="0"/>
      <w:marRight w:val="0"/>
      <w:marTop w:val="0"/>
      <w:marBottom w:val="0"/>
      <w:divBdr>
        <w:top w:val="none" w:sz="0" w:space="0" w:color="auto"/>
        <w:left w:val="none" w:sz="0" w:space="0" w:color="auto"/>
        <w:bottom w:val="none" w:sz="0" w:space="0" w:color="auto"/>
        <w:right w:val="none" w:sz="0" w:space="0" w:color="auto"/>
      </w:divBdr>
    </w:div>
    <w:div w:id="1478690186">
      <w:bodyDiv w:val="1"/>
      <w:marLeft w:val="0"/>
      <w:marRight w:val="0"/>
      <w:marTop w:val="0"/>
      <w:marBottom w:val="0"/>
      <w:divBdr>
        <w:top w:val="none" w:sz="0" w:space="0" w:color="auto"/>
        <w:left w:val="none" w:sz="0" w:space="0" w:color="auto"/>
        <w:bottom w:val="none" w:sz="0" w:space="0" w:color="auto"/>
        <w:right w:val="none" w:sz="0" w:space="0" w:color="auto"/>
      </w:divBdr>
    </w:div>
    <w:div w:id="1486507449">
      <w:bodyDiv w:val="1"/>
      <w:marLeft w:val="0"/>
      <w:marRight w:val="0"/>
      <w:marTop w:val="0"/>
      <w:marBottom w:val="0"/>
      <w:divBdr>
        <w:top w:val="none" w:sz="0" w:space="0" w:color="auto"/>
        <w:left w:val="none" w:sz="0" w:space="0" w:color="auto"/>
        <w:bottom w:val="none" w:sz="0" w:space="0" w:color="auto"/>
        <w:right w:val="none" w:sz="0" w:space="0" w:color="auto"/>
      </w:divBdr>
    </w:div>
    <w:div w:id="1491562533">
      <w:bodyDiv w:val="1"/>
      <w:marLeft w:val="0"/>
      <w:marRight w:val="0"/>
      <w:marTop w:val="0"/>
      <w:marBottom w:val="0"/>
      <w:divBdr>
        <w:top w:val="none" w:sz="0" w:space="0" w:color="auto"/>
        <w:left w:val="none" w:sz="0" w:space="0" w:color="auto"/>
        <w:bottom w:val="none" w:sz="0" w:space="0" w:color="auto"/>
        <w:right w:val="none" w:sz="0" w:space="0" w:color="auto"/>
      </w:divBdr>
    </w:div>
    <w:div w:id="1494834680">
      <w:bodyDiv w:val="1"/>
      <w:marLeft w:val="0"/>
      <w:marRight w:val="0"/>
      <w:marTop w:val="0"/>
      <w:marBottom w:val="0"/>
      <w:divBdr>
        <w:top w:val="none" w:sz="0" w:space="0" w:color="auto"/>
        <w:left w:val="none" w:sz="0" w:space="0" w:color="auto"/>
        <w:bottom w:val="none" w:sz="0" w:space="0" w:color="auto"/>
        <w:right w:val="none" w:sz="0" w:space="0" w:color="auto"/>
      </w:divBdr>
    </w:div>
    <w:div w:id="1495219649">
      <w:bodyDiv w:val="1"/>
      <w:marLeft w:val="0"/>
      <w:marRight w:val="0"/>
      <w:marTop w:val="0"/>
      <w:marBottom w:val="0"/>
      <w:divBdr>
        <w:top w:val="none" w:sz="0" w:space="0" w:color="auto"/>
        <w:left w:val="none" w:sz="0" w:space="0" w:color="auto"/>
        <w:bottom w:val="none" w:sz="0" w:space="0" w:color="auto"/>
        <w:right w:val="none" w:sz="0" w:space="0" w:color="auto"/>
      </w:divBdr>
    </w:div>
    <w:div w:id="1498307097">
      <w:bodyDiv w:val="1"/>
      <w:marLeft w:val="0"/>
      <w:marRight w:val="0"/>
      <w:marTop w:val="0"/>
      <w:marBottom w:val="0"/>
      <w:divBdr>
        <w:top w:val="none" w:sz="0" w:space="0" w:color="auto"/>
        <w:left w:val="none" w:sz="0" w:space="0" w:color="auto"/>
        <w:bottom w:val="none" w:sz="0" w:space="0" w:color="auto"/>
        <w:right w:val="none" w:sz="0" w:space="0" w:color="auto"/>
      </w:divBdr>
    </w:div>
    <w:div w:id="1504588760">
      <w:bodyDiv w:val="1"/>
      <w:marLeft w:val="0"/>
      <w:marRight w:val="0"/>
      <w:marTop w:val="0"/>
      <w:marBottom w:val="0"/>
      <w:divBdr>
        <w:top w:val="none" w:sz="0" w:space="0" w:color="auto"/>
        <w:left w:val="none" w:sz="0" w:space="0" w:color="auto"/>
        <w:bottom w:val="none" w:sz="0" w:space="0" w:color="auto"/>
        <w:right w:val="none" w:sz="0" w:space="0" w:color="auto"/>
      </w:divBdr>
    </w:div>
    <w:div w:id="1506480748">
      <w:bodyDiv w:val="1"/>
      <w:marLeft w:val="0"/>
      <w:marRight w:val="0"/>
      <w:marTop w:val="0"/>
      <w:marBottom w:val="0"/>
      <w:divBdr>
        <w:top w:val="none" w:sz="0" w:space="0" w:color="auto"/>
        <w:left w:val="none" w:sz="0" w:space="0" w:color="auto"/>
        <w:bottom w:val="none" w:sz="0" w:space="0" w:color="auto"/>
        <w:right w:val="none" w:sz="0" w:space="0" w:color="auto"/>
      </w:divBdr>
    </w:div>
    <w:div w:id="1507670180">
      <w:bodyDiv w:val="1"/>
      <w:marLeft w:val="0"/>
      <w:marRight w:val="0"/>
      <w:marTop w:val="0"/>
      <w:marBottom w:val="0"/>
      <w:divBdr>
        <w:top w:val="none" w:sz="0" w:space="0" w:color="auto"/>
        <w:left w:val="none" w:sz="0" w:space="0" w:color="auto"/>
        <w:bottom w:val="none" w:sz="0" w:space="0" w:color="auto"/>
        <w:right w:val="none" w:sz="0" w:space="0" w:color="auto"/>
      </w:divBdr>
    </w:div>
    <w:div w:id="1509556834">
      <w:bodyDiv w:val="1"/>
      <w:marLeft w:val="0"/>
      <w:marRight w:val="0"/>
      <w:marTop w:val="0"/>
      <w:marBottom w:val="0"/>
      <w:divBdr>
        <w:top w:val="none" w:sz="0" w:space="0" w:color="auto"/>
        <w:left w:val="none" w:sz="0" w:space="0" w:color="auto"/>
        <w:bottom w:val="none" w:sz="0" w:space="0" w:color="auto"/>
        <w:right w:val="none" w:sz="0" w:space="0" w:color="auto"/>
      </w:divBdr>
    </w:div>
    <w:div w:id="1515849703">
      <w:bodyDiv w:val="1"/>
      <w:marLeft w:val="0"/>
      <w:marRight w:val="0"/>
      <w:marTop w:val="0"/>
      <w:marBottom w:val="0"/>
      <w:divBdr>
        <w:top w:val="none" w:sz="0" w:space="0" w:color="auto"/>
        <w:left w:val="none" w:sz="0" w:space="0" w:color="auto"/>
        <w:bottom w:val="none" w:sz="0" w:space="0" w:color="auto"/>
        <w:right w:val="none" w:sz="0" w:space="0" w:color="auto"/>
      </w:divBdr>
    </w:div>
    <w:div w:id="1521552574">
      <w:bodyDiv w:val="1"/>
      <w:marLeft w:val="0"/>
      <w:marRight w:val="0"/>
      <w:marTop w:val="0"/>
      <w:marBottom w:val="0"/>
      <w:divBdr>
        <w:top w:val="none" w:sz="0" w:space="0" w:color="auto"/>
        <w:left w:val="none" w:sz="0" w:space="0" w:color="auto"/>
        <w:bottom w:val="none" w:sz="0" w:space="0" w:color="auto"/>
        <w:right w:val="none" w:sz="0" w:space="0" w:color="auto"/>
      </w:divBdr>
    </w:div>
    <w:div w:id="1522009592">
      <w:bodyDiv w:val="1"/>
      <w:marLeft w:val="0"/>
      <w:marRight w:val="0"/>
      <w:marTop w:val="0"/>
      <w:marBottom w:val="0"/>
      <w:divBdr>
        <w:top w:val="none" w:sz="0" w:space="0" w:color="auto"/>
        <w:left w:val="none" w:sz="0" w:space="0" w:color="auto"/>
        <w:bottom w:val="none" w:sz="0" w:space="0" w:color="auto"/>
        <w:right w:val="none" w:sz="0" w:space="0" w:color="auto"/>
      </w:divBdr>
    </w:div>
    <w:div w:id="1529678766">
      <w:bodyDiv w:val="1"/>
      <w:marLeft w:val="0"/>
      <w:marRight w:val="0"/>
      <w:marTop w:val="0"/>
      <w:marBottom w:val="0"/>
      <w:divBdr>
        <w:top w:val="none" w:sz="0" w:space="0" w:color="auto"/>
        <w:left w:val="none" w:sz="0" w:space="0" w:color="auto"/>
        <w:bottom w:val="none" w:sz="0" w:space="0" w:color="auto"/>
        <w:right w:val="none" w:sz="0" w:space="0" w:color="auto"/>
      </w:divBdr>
    </w:div>
    <w:div w:id="1535850251">
      <w:bodyDiv w:val="1"/>
      <w:marLeft w:val="0"/>
      <w:marRight w:val="0"/>
      <w:marTop w:val="0"/>
      <w:marBottom w:val="0"/>
      <w:divBdr>
        <w:top w:val="none" w:sz="0" w:space="0" w:color="auto"/>
        <w:left w:val="none" w:sz="0" w:space="0" w:color="auto"/>
        <w:bottom w:val="none" w:sz="0" w:space="0" w:color="auto"/>
        <w:right w:val="none" w:sz="0" w:space="0" w:color="auto"/>
      </w:divBdr>
    </w:div>
    <w:div w:id="1539005196">
      <w:bodyDiv w:val="1"/>
      <w:marLeft w:val="0"/>
      <w:marRight w:val="0"/>
      <w:marTop w:val="0"/>
      <w:marBottom w:val="0"/>
      <w:divBdr>
        <w:top w:val="none" w:sz="0" w:space="0" w:color="auto"/>
        <w:left w:val="none" w:sz="0" w:space="0" w:color="auto"/>
        <w:bottom w:val="none" w:sz="0" w:space="0" w:color="auto"/>
        <w:right w:val="none" w:sz="0" w:space="0" w:color="auto"/>
      </w:divBdr>
    </w:div>
    <w:div w:id="1546943861">
      <w:bodyDiv w:val="1"/>
      <w:marLeft w:val="0"/>
      <w:marRight w:val="0"/>
      <w:marTop w:val="0"/>
      <w:marBottom w:val="0"/>
      <w:divBdr>
        <w:top w:val="none" w:sz="0" w:space="0" w:color="auto"/>
        <w:left w:val="none" w:sz="0" w:space="0" w:color="auto"/>
        <w:bottom w:val="none" w:sz="0" w:space="0" w:color="auto"/>
        <w:right w:val="none" w:sz="0" w:space="0" w:color="auto"/>
      </w:divBdr>
    </w:div>
    <w:div w:id="1552233897">
      <w:bodyDiv w:val="1"/>
      <w:marLeft w:val="0"/>
      <w:marRight w:val="0"/>
      <w:marTop w:val="0"/>
      <w:marBottom w:val="0"/>
      <w:divBdr>
        <w:top w:val="none" w:sz="0" w:space="0" w:color="auto"/>
        <w:left w:val="none" w:sz="0" w:space="0" w:color="auto"/>
        <w:bottom w:val="none" w:sz="0" w:space="0" w:color="auto"/>
        <w:right w:val="none" w:sz="0" w:space="0" w:color="auto"/>
      </w:divBdr>
    </w:div>
    <w:div w:id="1557929449">
      <w:bodyDiv w:val="1"/>
      <w:marLeft w:val="0"/>
      <w:marRight w:val="0"/>
      <w:marTop w:val="0"/>
      <w:marBottom w:val="0"/>
      <w:divBdr>
        <w:top w:val="none" w:sz="0" w:space="0" w:color="auto"/>
        <w:left w:val="none" w:sz="0" w:space="0" w:color="auto"/>
        <w:bottom w:val="none" w:sz="0" w:space="0" w:color="auto"/>
        <w:right w:val="none" w:sz="0" w:space="0" w:color="auto"/>
      </w:divBdr>
    </w:div>
    <w:div w:id="1558513176">
      <w:bodyDiv w:val="1"/>
      <w:marLeft w:val="0"/>
      <w:marRight w:val="0"/>
      <w:marTop w:val="0"/>
      <w:marBottom w:val="0"/>
      <w:divBdr>
        <w:top w:val="none" w:sz="0" w:space="0" w:color="auto"/>
        <w:left w:val="none" w:sz="0" w:space="0" w:color="auto"/>
        <w:bottom w:val="none" w:sz="0" w:space="0" w:color="auto"/>
        <w:right w:val="none" w:sz="0" w:space="0" w:color="auto"/>
      </w:divBdr>
    </w:div>
    <w:div w:id="1567835045">
      <w:bodyDiv w:val="1"/>
      <w:marLeft w:val="0"/>
      <w:marRight w:val="0"/>
      <w:marTop w:val="0"/>
      <w:marBottom w:val="0"/>
      <w:divBdr>
        <w:top w:val="none" w:sz="0" w:space="0" w:color="auto"/>
        <w:left w:val="none" w:sz="0" w:space="0" w:color="auto"/>
        <w:bottom w:val="none" w:sz="0" w:space="0" w:color="auto"/>
        <w:right w:val="none" w:sz="0" w:space="0" w:color="auto"/>
      </w:divBdr>
    </w:div>
    <w:div w:id="1569732234">
      <w:bodyDiv w:val="1"/>
      <w:marLeft w:val="0"/>
      <w:marRight w:val="0"/>
      <w:marTop w:val="0"/>
      <w:marBottom w:val="0"/>
      <w:divBdr>
        <w:top w:val="none" w:sz="0" w:space="0" w:color="auto"/>
        <w:left w:val="none" w:sz="0" w:space="0" w:color="auto"/>
        <w:bottom w:val="none" w:sz="0" w:space="0" w:color="auto"/>
        <w:right w:val="none" w:sz="0" w:space="0" w:color="auto"/>
      </w:divBdr>
    </w:div>
    <w:div w:id="1570261493">
      <w:bodyDiv w:val="1"/>
      <w:marLeft w:val="0"/>
      <w:marRight w:val="0"/>
      <w:marTop w:val="0"/>
      <w:marBottom w:val="0"/>
      <w:divBdr>
        <w:top w:val="none" w:sz="0" w:space="0" w:color="auto"/>
        <w:left w:val="none" w:sz="0" w:space="0" w:color="auto"/>
        <w:bottom w:val="none" w:sz="0" w:space="0" w:color="auto"/>
        <w:right w:val="none" w:sz="0" w:space="0" w:color="auto"/>
      </w:divBdr>
    </w:div>
    <w:div w:id="1577938736">
      <w:bodyDiv w:val="1"/>
      <w:marLeft w:val="0"/>
      <w:marRight w:val="0"/>
      <w:marTop w:val="0"/>
      <w:marBottom w:val="0"/>
      <w:divBdr>
        <w:top w:val="none" w:sz="0" w:space="0" w:color="auto"/>
        <w:left w:val="none" w:sz="0" w:space="0" w:color="auto"/>
        <w:bottom w:val="none" w:sz="0" w:space="0" w:color="auto"/>
        <w:right w:val="none" w:sz="0" w:space="0" w:color="auto"/>
      </w:divBdr>
    </w:div>
    <w:div w:id="1579750198">
      <w:bodyDiv w:val="1"/>
      <w:marLeft w:val="0"/>
      <w:marRight w:val="0"/>
      <w:marTop w:val="0"/>
      <w:marBottom w:val="0"/>
      <w:divBdr>
        <w:top w:val="none" w:sz="0" w:space="0" w:color="auto"/>
        <w:left w:val="none" w:sz="0" w:space="0" w:color="auto"/>
        <w:bottom w:val="none" w:sz="0" w:space="0" w:color="auto"/>
        <w:right w:val="none" w:sz="0" w:space="0" w:color="auto"/>
      </w:divBdr>
    </w:div>
    <w:div w:id="1581452337">
      <w:bodyDiv w:val="1"/>
      <w:marLeft w:val="0"/>
      <w:marRight w:val="0"/>
      <w:marTop w:val="0"/>
      <w:marBottom w:val="0"/>
      <w:divBdr>
        <w:top w:val="none" w:sz="0" w:space="0" w:color="auto"/>
        <w:left w:val="none" w:sz="0" w:space="0" w:color="auto"/>
        <w:bottom w:val="none" w:sz="0" w:space="0" w:color="auto"/>
        <w:right w:val="none" w:sz="0" w:space="0" w:color="auto"/>
      </w:divBdr>
    </w:div>
    <w:div w:id="1588229160">
      <w:bodyDiv w:val="1"/>
      <w:marLeft w:val="0"/>
      <w:marRight w:val="0"/>
      <w:marTop w:val="0"/>
      <w:marBottom w:val="0"/>
      <w:divBdr>
        <w:top w:val="none" w:sz="0" w:space="0" w:color="auto"/>
        <w:left w:val="none" w:sz="0" w:space="0" w:color="auto"/>
        <w:bottom w:val="none" w:sz="0" w:space="0" w:color="auto"/>
        <w:right w:val="none" w:sz="0" w:space="0" w:color="auto"/>
      </w:divBdr>
    </w:div>
    <w:div w:id="1615214423">
      <w:bodyDiv w:val="1"/>
      <w:marLeft w:val="0"/>
      <w:marRight w:val="0"/>
      <w:marTop w:val="0"/>
      <w:marBottom w:val="0"/>
      <w:divBdr>
        <w:top w:val="none" w:sz="0" w:space="0" w:color="auto"/>
        <w:left w:val="none" w:sz="0" w:space="0" w:color="auto"/>
        <w:bottom w:val="none" w:sz="0" w:space="0" w:color="auto"/>
        <w:right w:val="none" w:sz="0" w:space="0" w:color="auto"/>
      </w:divBdr>
    </w:div>
    <w:div w:id="1623731481">
      <w:bodyDiv w:val="1"/>
      <w:marLeft w:val="0"/>
      <w:marRight w:val="0"/>
      <w:marTop w:val="0"/>
      <w:marBottom w:val="0"/>
      <w:divBdr>
        <w:top w:val="none" w:sz="0" w:space="0" w:color="auto"/>
        <w:left w:val="none" w:sz="0" w:space="0" w:color="auto"/>
        <w:bottom w:val="none" w:sz="0" w:space="0" w:color="auto"/>
        <w:right w:val="none" w:sz="0" w:space="0" w:color="auto"/>
      </w:divBdr>
    </w:div>
    <w:div w:id="1629899635">
      <w:bodyDiv w:val="1"/>
      <w:marLeft w:val="0"/>
      <w:marRight w:val="0"/>
      <w:marTop w:val="0"/>
      <w:marBottom w:val="0"/>
      <w:divBdr>
        <w:top w:val="none" w:sz="0" w:space="0" w:color="auto"/>
        <w:left w:val="none" w:sz="0" w:space="0" w:color="auto"/>
        <w:bottom w:val="none" w:sz="0" w:space="0" w:color="auto"/>
        <w:right w:val="none" w:sz="0" w:space="0" w:color="auto"/>
      </w:divBdr>
    </w:div>
    <w:div w:id="1643074004">
      <w:bodyDiv w:val="1"/>
      <w:marLeft w:val="0"/>
      <w:marRight w:val="0"/>
      <w:marTop w:val="0"/>
      <w:marBottom w:val="0"/>
      <w:divBdr>
        <w:top w:val="none" w:sz="0" w:space="0" w:color="auto"/>
        <w:left w:val="none" w:sz="0" w:space="0" w:color="auto"/>
        <w:bottom w:val="none" w:sz="0" w:space="0" w:color="auto"/>
        <w:right w:val="none" w:sz="0" w:space="0" w:color="auto"/>
      </w:divBdr>
    </w:div>
    <w:div w:id="1643536654">
      <w:bodyDiv w:val="1"/>
      <w:marLeft w:val="0"/>
      <w:marRight w:val="0"/>
      <w:marTop w:val="0"/>
      <w:marBottom w:val="0"/>
      <w:divBdr>
        <w:top w:val="none" w:sz="0" w:space="0" w:color="auto"/>
        <w:left w:val="none" w:sz="0" w:space="0" w:color="auto"/>
        <w:bottom w:val="none" w:sz="0" w:space="0" w:color="auto"/>
        <w:right w:val="none" w:sz="0" w:space="0" w:color="auto"/>
      </w:divBdr>
    </w:div>
    <w:div w:id="1644238546">
      <w:bodyDiv w:val="1"/>
      <w:marLeft w:val="0"/>
      <w:marRight w:val="0"/>
      <w:marTop w:val="0"/>
      <w:marBottom w:val="0"/>
      <w:divBdr>
        <w:top w:val="none" w:sz="0" w:space="0" w:color="auto"/>
        <w:left w:val="none" w:sz="0" w:space="0" w:color="auto"/>
        <w:bottom w:val="none" w:sz="0" w:space="0" w:color="auto"/>
        <w:right w:val="none" w:sz="0" w:space="0" w:color="auto"/>
      </w:divBdr>
    </w:div>
    <w:div w:id="1652558601">
      <w:bodyDiv w:val="1"/>
      <w:marLeft w:val="0"/>
      <w:marRight w:val="0"/>
      <w:marTop w:val="0"/>
      <w:marBottom w:val="0"/>
      <w:divBdr>
        <w:top w:val="none" w:sz="0" w:space="0" w:color="auto"/>
        <w:left w:val="none" w:sz="0" w:space="0" w:color="auto"/>
        <w:bottom w:val="none" w:sz="0" w:space="0" w:color="auto"/>
        <w:right w:val="none" w:sz="0" w:space="0" w:color="auto"/>
      </w:divBdr>
    </w:div>
    <w:div w:id="1660882972">
      <w:bodyDiv w:val="1"/>
      <w:marLeft w:val="0"/>
      <w:marRight w:val="0"/>
      <w:marTop w:val="0"/>
      <w:marBottom w:val="0"/>
      <w:divBdr>
        <w:top w:val="none" w:sz="0" w:space="0" w:color="auto"/>
        <w:left w:val="none" w:sz="0" w:space="0" w:color="auto"/>
        <w:bottom w:val="none" w:sz="0" w:space="0" w:color="auto"/>
        <w:right w:val="none" w:sz="0" w:space="0" w:color="auto"/>
      </w:divBdr>
    </w:div>
    <w:div w:id="1661346012">
      <w:bodyDiv w:val="1"/>
      <w:marLeft w:val="0"/>
      <w:marRight w:val="0"/>
      <w:marTop w:val="0"/>
      <w:marBottom w:val="0"/>
      <w:divBdr>
        <w:top w:val="none" w:sz="0" w:space="0" w:color="auto"/>
        <w:left w:val="none" w:sz="0" w:space="0" w:color="auto"/>
        <w:bottom w:val="none" w:sz="0" w:space="0" w:color="auto"/>
        <w:right w:val="none" w:sz="0" w:space="0" w:color="auto"/>
      </w:divBdr>
    </w:div>
    <w:div w:id="1664510603">
      <w:bodyDiv w:val="1"/>
      <w:marLeft w:val="0"/>
      <w:marRight w:val="0"/>
      <w:marTop w:val="0"/>
      <w:marBottom w:val="0"/>
      <w:divBdr>
        <w:top w:val="none" w:sz="0" w:space="0" w:color="auto"/>
        <w:left w:val="none" w:sz="0" w:space="0" w:color="auto"/>
        <w:bottom w:val="none" w:sz="0" w:space="0" w:color="auto"/>
        <w:right w:val="none" w:sz="0" w:space="0" w:color="auto"/>
      </w:divBdr>
    </w:div>
    <w:div w:id="1671980459">
      <w:bodyDiv w:val="1"/>
      <w:marLeft w:val="0"/>
      <w:marRight w:val="0"/>
      <w:marTop w:val="0"/>
      <w:marBottom w:val="0"/>
      <w:divBdr>
        <w:top w:val="none" w:sz="0" w:space="0" w:color="auto"/>
        <w:left w:val="none" w:sz="0" w:space="0" w:color="auto"/>
        <w:bottom w:val="none" w:sz="0" w:space="0" w:color="auto"/>
        <w:right w:val="none" w:sz="0" w:space="0" w:color="auto"/>
      </w:divBdr>
    </w:div>
    <w:div w:id="1675918862">
      <w:bodyDiv w:val="1"/>
      <w:marLeft w:val="0"/>
      <w:marRight w:val="0"/>
      <w:marTop w:val="0"/>
      <w:marBottom w:val="0"/>
      <w:divBdr>
        <w:top w:val="none" w:sz="0" w:space="0" w:color="auto"/>
        <w:left w:val="none" w:sz="0" w:space="0" w:color="auto"/>
        <w:bottom w:val="none" w:sz="0" w:space="0" w:color="auto"/>
        <w:right w:val="none" w:sz="0" w:space="0" w:color="auto"/>
      </w:divBdr>
    </w:div>
    <w:div w:id="1686634519">
      <w:bodyDiv w:val="1"/>
      <w:marLeft w:val="0"/>
      <w:marRight w:val="0"/>
      <w:marTop w:val="0"/>
      <w:marBottom w:val="0"/>
      <w:divBdr>
        <w:top w:val="none" w:sz="0" w:space="0" w:color="auto"/>
        <w:left w:val="none" w:sz="0" w:space="0" w:color="auto"/>
        <w:bottom w:val="none" w:sz="0" w:space="0" w:color="auto"/>
        <w:right w:val="none" w:sz="0" w:space="0" w:color="auto"/>
      </w:divBdr>
    </w:div>
    <w:div w:id="1690646798">
      <w:bodyDiv w:val="1"/>
      <w:marLeft w:val="0"/>
      <w:marRight w:val="0"/>
      <w:marTop w:val="0"/>
      <w:marBottom w:val="0"/>
      <w:divBdr>
        <w:top w:val="none" w:sz="0" w:space="0" w:color="auto"/>
        <w:left w:val="none" w:sz="0" w:space="0" w:color="auto"/>
        <w:bottom w:val="none" w:sz="0" w:space="0" w:color="auto"/>
        <w:right w:val="none" w:sz="0" w:space="0" w:color="auto"/>
      </w:divBdr>
    </w:div>
    <w:div w:id="1702050583">
      <w:bodyDiv w:val="1"/>
      <w:marLeft w:val="0"/>
      <w:marRight w:val="0"/>
      <w:marTop w:val="0"/>
      <w:marBottom w:val="0"/>
      <w:divBdr>
        <w:top w:val="none" w:sz="0" w:space="0" w:color="auto"/>
        <w:left w:val="none" w:sz="0" w:space="0" w:color="auto"/>
        <w:bottom w:val="none" w:sz="0" w:space="0" w:color="auto"/>
        <w:right w:val="none" w:sz="0" w:space="0" w:color="auto"/>
      </w:divBdr>
    </w:div>
    <w:div w:id="1709068004">
      <w:bodyDiv w:val="1"/>
      <w:marLeft w:val="0"/>
      <w:marRight w:val="0"/>
      <w:marTop w:val="0"/>
      <w:marBottom w:val="0"/>
      <w:divBdr>
        <w:top w:val="none" w:sz="0" w:space="0" w:color="auto"/>
        <w:left w:val="none" w:sz="0" w:space="0" w:color="auto"/>
        <w:bottom w:val="none" w:sz="0" w:space="0" w:color="auto"/>
        <w:right w:val="none" w:sz="0" w:space="0" w:color="auto"/>
      </w:divBdr>
    </w:div>
    <w:div w:id="1710379495">
      <w:bodyDiv w:val="1"/>
      <w:marLeft w:val="0"/>
      <w:marRight w:val="0"/>
      <w:marTop w:val="0"/>
      <w:marBottom w:val="0"/>
      <w:divBdr>
        <w:top w:val="none" w:sz="0" w:space="0" w:color="auto"/>
        <w:left w:val="none" w:sz="0" w:space="0" w:color="auto"/>
        <w:bottom w:val="none" w:sz="0" w:space="0" w:color="auto"/>
        <w:right w:val="none" w:sz="0" w:space="0" w:color="auto"/>
      </w:divBdr>
    </w:div>
    <w:div w:id="1715691998">
      <w:bodyDiv w:val="1"/>
      <w:marLeft w:val="0"/>
      <w:marRight w:val="0"/>
      <w:marTop w:val="0"/>
      <w:marBottom w:val="0"/>
      <w:divBdr>
        <w:top w:val="none" w:sz="0" w:space="0" w:color="auto"/>
        <w:left w:val="none" w:sz="0" w:space="0" w:color="auto"/>
        <w:bottom w:val="none" w:sz="0" w:space="0" w:color="auto"/>
        <w:right w:val="none" w:sz="0" w:space="0" w:color="auto"/>
      </w:divBdr>
    </w:div>
    <w:div w:id="1723016588">
      <w:bodyDiv w:val="1"/>
      <w:marLeft w:val="0"/>
      <w:marRight w:val="0"/>
      <w:marTop w:val="0"/>
      <w:marBottom w:val="0"/>
      <w:divBdr>
        <w:top w:val="none" w:sz="0" w:space="0" w:color="auto"/>
        <w:left w:val="none" w:sz="0" w:space="0" w:color="auto"/>
        <w:bottom w:val="none" w:sz="0" w:space="0" w:color="auto"/>
        <w:right w:val="none" w:sz="0" w:space="0" w:color="auto"/>
      </w:divBdr>
    </w:div>
    <w:div w:id="1735808023">
      <w:bodyDiv w:val="1"/>
      <w:marLeft w:val="0"/>
      <w:marRight w:val="0"/>
      <w:marTop w:val="0"/>
      <w:marBottom w:val="0"/>
      <w:divBdr>
        <w:top w:val="none" w:sz="0" w:space="0" w:color="auto"/>
        <w:left w:val="none" w:sz="0" w:space="0" w:color="auto"/>
        <w:bottom w:val="none" w:sz="0" w:space="0" w:color="auto"/>
        <w:right w:val="none" w:sz="0" w:space="0" w:color="auto"/>
      </w:divBdr>
    </w:div>
    <w:div w:id="1741370364">
      <w:bodyDiv w:val="1"/>
      <w:marLeft w:val="0"/>
      <w:marRight w:val="0"/>
      <w:marTop w:val="0"/>
      <w:marBottom w:val="0"/>
      <w:divBdr>
        <w:top w:val="none" w:sz="0" w:space="0" w:color="auto"/>
        <w:left w:val="none" w:sz="0" w:space="0" w:color="auto"/>
        <w:bottom w:val="none" w:sz="0" w:space="0" w:color="auto"/>
        <w:right w:val="none" w:sz="0" w:space="0" w:color="auto"/>
      </w:divBdr>
    </w:div>
    <w:div w:id="1742484422">
      <w:bodyDiv w:val="1"/>
      <w:marLeft w:val="0"/>
      <w:marRight w:val="0"/>
      <w:marTop w:val="0"/>
      <w:marBottom w:val="0"/>
      <w:divBdr>
        <w:top w:val="none" w:sz="0" w:space="0" w:color="auto"/>
        <w:left w:val="none" w:sz="0" w:space="0" w:color="auto"/>
        <w:bottom w:val="none" w:sz="0" w:space="0" w:color="auto"/>
        <w:right w:val="none" w:sz="0" w:space="0" w:color="auto"/>
      </w:divBdr>
    </w:div>
    <w:div w:id="1746993885">
      <w:bodyDiv w:val="1"/>
      <w:marLeft w:val="0"/>
      <w:marRight w:val="0"/>
      <w:marTop w:val="0"/>
      <w:marBottom w:val="0"/>
      <w:divBdr>
        <w:top w:val="none" w:sz="0" w:space="0" w:color="auto"/>
        <w:left w:val="none" w:sz="0" w:space="0" w:color="auto"/>
        <w:bottom w:val="none" w:sz="0" w:space="0" w:color="auto"/>
        <w:right w:val="none" w:sz="0" w:space="0" w:color="auto"/>
      </w:divBdr>
    </w:div>
    <w:div w:id="1746996397">
      <w:bodyDiv w:val="1"/>
      <w:marLeft w:val="0"/>
      <w:marRight w:val="0"/>
      <w:marTop w:val="0"/>
      <w:marBottom w:val="0"/>
      <w:divBdr>
        <w:top w:val="none" w:sz="0" w:space="0" w:color="auto"/>
        <w:left w:val="none" w:sz="0" w:space="0" w:color="auto"/>
        <w:bottom w:val="none" w:sz="0" w:space="0" w:color="auto"/>
        <w:right w:val="none" w:sz="0" w:space="0" w:color="auto"/>
      </w:divBdr>
    </w:div>
    <w:div w:id="1752388851">
      <w:bodyDiv w:val="1"/>
      <w:marLeft w:val="0"/>
      <w:marRight w:val="0"/>
      <w:marTop w:val="0"/>
      <w:marBottom w:val="0"/>
      <w:divBdr>
        <w:top w:val="none" w:sz="0" w:space="0" w:color="auto"/>
        <w:left w:val="none" w:sz="0" w:space="0" w:color="auto"/>
        <w:bottom w:val="none" w:sz="0" w:space="0" w:color="auto"/>
        <w:right w:val="none" w:sz="0" w:space="0" w:color="auto"/>
      </w:divBdr>
    </w:div>
    <w:div w:id="1753044695">
      <w:bodyDiv w:val="1"/>
      <w:marLeft w:val="0"/>
      <w:marRight w:val="0"/>
      <w:marTop w:val="0"/>
      <w:marBottom w:val="0"/>
      <w:divBdr>
        <w:top w:val="none" w:sz="0" w:space="0" w:color="auto"/>
        <w:left w:val="none" w:sz="0" w:space="0" w:color="auto"/>
        <w:bottom w:val="none" w:sz="0" w:space="0" w:color="auto"/>
        <w:right w:val="none" w:sz="0" w:space="0" w:color="auto"/>
      </w:divBdr>
    </w:div>
    <w:div w:id="1775126340">
      <w:bodyDiv w:val="1"/>
      <w:marLeft w:val="0"/>
      <w:marRight w:val="0"/>
      <w:marTop w:val="0"/>
      <w:marBottom w:val="0"/>
      <w:divBdr>
        <w:top w:val="none" w:sz="0" w:space="0" w:color="auto"/>
        <w:left w:val="none" w:sz="0" w:space="0" w:color="auto"/>
        <w:bottom w:val="none" w:sz="0" w:space="0" w:color="auto"/>
        <w:right w:val="none" w:sz="0" w:space="0" w:color="auto"/>
      </w:divBdr>
    </w:div>
    <w:div w:id="1777017907">
      <w:bodyDiv w:val="1"/>
      <w:marLeft w:val="0"/>
      <w:marRight w:val="0"/>
      <w:marTop w:val="0"/>
      <w:marBottom w:val="0"/>
      <w:divBdr>
        <w:top w:val="none" w:sz="0" w:space="0" w:color="auto"/>
        <w:left w:val="none" w:sz="0" w:space="0" w:color="auto"/>
        <w:bottom w:val="none" w:sz="0" w:space="0" w:color="auto"/>
        <w:right w:val="none" w:sz="0" w:space="0" w:color="auto"/>
      </w:divBdr>
    </w:div>
    <w:div w:id="1786849091">
      <w:bodyDiv w:val="1"/>
      <w:marLeft w:val="0"/>
      <w:marRight w:val="0"/>
      <w:marTop w:val="0"/>
      <w:marBottom w:val="0"/>
      <w:divBdr>
        <w:top w:val="none" w:sz="0" w:space="0" w:color="auto"/>
        <w:left w:val="none" w:sz="0" w:space="0" w:color="auto"/>
        <w:bottom w:val="none" w:sz="0" w:space="0" w:color="auto"/>
        <w:right w:val="none" w:sz="0" w:space="0" w:color="auto"/>
      </w:divBdr>
    </w:div>
    <w:div w:id="1800224509">
      <w:bodyDiv w:val="1"/>
      <w:marLeft w:val="0"/>
      <w:marRight w:val="0"/>
      <w:marTop w:val="0"/>
      <w:marBottom w:val="0"/>
      <w:divBdr>
        <w:top w:val="none" w:sz="0" w:space="0" w:color="auto"/>
        <w:left w:val="none" w:sz="0" w:space="0" w:color="auto"/>
        <w:bottom w:val="none" w:sz="0" w:space="0" w:color="auto"/>
        <w:right w:val="none" w:sz="0" w:space="0" w:color="auto"/>
      </w:divBdr>
    </w:div>
    <w:div w:id="1800609155">
      <w:bodyDiv w:val="1"/>
      <w:marLeft w:val="0"/>
      <w:marRight w:val="0"/>
      <w:marTop w:val="0"/>
      <w:marBottom w:val="0"/>
      <w:divBdr>
        <w:top w:val="none" w:sz="0" w:space="0" w:color="auto"/>
        <w:left w:val="none" w:sz="0" w:space="0" w:color="auto"/>
        <w:bottom w:val="none" w:sz="0" w:space="0" w:color="auto"/>
        <w:right w:val="none" w:sz="0" w:space="0" w:color="auto"/>
      </w:divBdr>
    </w:div>
    <w:div w:id="1801260775">
      <w:bodyDiv w:val="1"/>
      <w:marLeft w:val="0"/>
      <w:marRight w:val="0"/>
      <w:marTop w:val="0"/>
      <w:marBottom w:val="0"/>
      <w:divBdr>
        <w:top w:val="none" w:sz="0" w:space="0" w:color="auto"/>
        <w:left w:val="none" w:sz="0" w:space="0" w:color="auto"/>
        <w:bottom w:val="none" w:sz="0" w:space="0" w:color="auto"/>
        <w:right w:val="none" w:sz="0" w:space="0" w:color="auto"/>
      </w:divBdr>
    </w:div>
    <w:div w:id="1802072630">
      <w:bodyDiv w:val="1"/>
      <w:marLeft w:val="0"/>
      <w:marRight w:val="0"/>
      <w:marTop w:val="0"/>
      <w:marBottom w:val="0"/>
      <w:divBdr>
        <w:top w:val="none" w:sz="0" w:space="0" w:color="auto"/>
        <w:left w:val="none" w:sz="0" w:space="0" w:color="auto"/>
        <w:bottom w:val="none" w:sz="0" w:space="0" w:color="auto"/>
        <w:right w:val="none" w:sz="0" w:space="0" w:color="auto"/>
      </w:divBdr>
    </w:div>
    <w:div w:id="1806661064">
      <w:bodyDiv w:val="1"/>
      <w:marLeft w:val="0"/>
      <w:marRight w:val="0"/>
      <w:marTop w:val="0"/>
      <w:marBottom w:val="0"/>
      <w:divBdr>
        <w:top w:val="none" w:sz="0" w:space="0" w:color="auto"/>
        <w:left w:val="none" w:sz="0" w:space="0" w:color="auto"/>
        <w:bottom w:val="none" w:sz="0" w:space="0" w:color="auto"/>
        <w:right w:val="none" w:sz="0" w:space="0" w:color="auto"/>
      </w:divBdr>
    </w:div>
    <w:div w:id="1807700586">
      <w:bodyDiv w:val="1"/>
      <w:marLeft w:val="0"/>
      <w:marRight w:val="0"/>
      <w:marTop w:val="0"/>
      <w:marBottom w:val="0"/>
      <w:divBdr>
        <w:top w:val="none" w:sz="0" w:space="0" w:color="auto"/>
        <w:left w:val="none" w:sz="0" w:space="0" w:color="auto"/>
        <w:bottom w:val="none" w:sz="0" w:space="0" w:color="auto"/>
        <w:right w:val="none" w:sz="0" w:space="0" w:color="auto"/>
      </w:divBdr>
    </w:div>
    <w:div w:id="1808744757">
      <w:bodyDiv w:val="1"/>
      <w:marLeft w:val="0"/>
      <w:marRight w:val="0"/>
      <w:marTop w:val="0"/>
      <w:marBottom w:val="0"/>
      <w:divBdr>
        <w:top w:val="none" w:sz="0" w:space="0" w:color="auto"/>
        <w:left w:val="none" w:sz="0" w:space="0" w:color="auto"/>
        <w:bottom w:val="none" w:sz="0" w:space="0" w:color="auto"/>
        <w:right w:val="none" w:sz="0" w:space="0" w:color="auto"/>
      </w:divBdr>
    </w:div>
    <w:div w:id="1821770880">
      <w:bodyDiv w:val="1"/>
      <w:marLeft w:val="0"/>
      <w:marRight w:val="0"/>
      <w:marTop w:val="0"/>
      <w:marBottom w:val="0"/>
      <w:divBdr>
        <w:top w:val="none" w:sz="0" w:space="0" w:color="auto"/>
        <w:left w:val="none" w:sz="0" w:space="0" w:color="auto"/>
        <w:bottom w:val="none" w:sz="0" w:space="0" w:color="auto"/>
        <w:right w:val="none" w:sz="0" w:space="0" w:color="auto"/>
      </w:divBdr>
    </w:div>
    <w:div w:id="1822692293">
      <w:bodyDiv w:val="1"/>
      <w:marLeft w:val="0"/>
      <w:marRight w:val="0"/>
      <w:marTop w:val="0"/>
      <w:marBottom w:val="0"/>
      <w:divBdr>
        <w:top w:val="none" w:sz="0" w:space="0" w:color="auto"/>
        <w:left w:val="none" w:sz="0" w:space="0" w:color="auto"/>
        <w:bottom w:val="none" w:sz="0" w:space="0" w:color="auto"/>
        <w:right w:val="none" w:sz="0" w:space="0" w:color="auto"/>
      </w:divBdr>
    </w:div>
    <w:div w:id="1824077183">
      <w:bodyDiv w:val="1"/>
      <w:marLeft w:val="0"/>
      <w:marRight w:val="0"/>
      <w:marTop w:val="0"/>
      <w:marBottom w:val="0"/>
      <w:divBdr>
        <w:top w:val="none" w:sz="0" w:space="0" w:color="auto"/>
        <w:left w:val="none" w:sz="0" w:space="0" w:color="auto"/>
        <w:bottom w:val="none" w:sz="0" w:space="0" w:color="auto"/>
        <w:right w:val="none" w:sz="0" w:space="0" w:color="auto"/>
      </w:divBdr>
    </w:div>
    <w:div w:id="1827358783">
      <w:bodyDiv w:val="1"/>
      <w:marLeft w:val="0"/>
      <w:marRight w:val="0"/>
      <w:marTop w:val="0"/>
      <w:marBottom w:val="0"/>
      <w:divBdr>
        <w:top w:val="none" w:sz="0" w:space="0" w:color="auto"/>
        <w:left w:val="none" w:sz="0" w:space="0" w:color="auto"/>
        <w:bottom w:val="none" w:sz="0" w:space="0" w:color="auto"/>
        <w:right w:val="none" w:sz="0" w:space="0" w:color="auto"/>
      </w:divBdr>
    </w:div>
    <w:div w:id="1828551551">
      <w:bodyDiv w:val="1"/>
      <w:marLeft w:val="0"/>
      <w:marRight w:val="0"/>
      <w:marTop w:val="0"/>
      <w:marBottom w:val="0"/>
      <w:divBdr>
        <w:top w:val="none" w:sz="0" w:space="0" w:color="auto"/>
        <w:left w:val="none" w:sz="0" w:space="0" w:color="auto"/>
        <w:bottom w:val="none" w:sz="0" w:space="0" w:color="auto"/>
        <w:right w:val="none" w:sz="0" w:space="0" w:color="auto"/>
      </w:divBdr>
    </w:div>
    <w:div w:id="1829589246">
      <w:bodyDiv w:val="1"/>
      <w:marLeft w:val="0"/>
      <w:marRight w:val="0"/>
      <w:marTop w:val="0"/>
      <w:marBottom w:val="0"/>
      <w:divBdr>
        <w:top w:val="none" w:sz="0" w:space="0" w:color="auto"/>
        <w:left w:val="none" w:sz="0" w:space="0" w:color="auto"/>
        <w:bottom w:val="none" w:sz="0" w:space="0" w:color="auto"/>
        <w:right w:val="none" w:sz="0" w:space="0" w:color="auto"/>
      </w:divBdr>
    </w:div>
    <w:div w:id="1837719805">
      <w:bodyDiv w:val="1"/>
      <w:marLeft w:val="0"/>
      <w:marRight w:val="0"/>
      <w:marTop w:val="0"/>
      <w:marBottom w:val="0"/>
      <w:divBdr>
        <w:top w:val="none" w:sz="0" w:space="0" w:color="auto"/>
        <w:left w:val="none" w:sz="0" w:space="0" w:color="auto"/>
        <w:bottom w:val="none" w:sz="0" w:space="0" w:color="auto"/>
        <w:right w:val="none" w:sz="0" w:space="0" w:color="auto"/>
      </w:divBdr>
    </w:div>
    <w:div w:id="1844281162">
      <w:bodyDiv w:val="1"/>
      <w:marLeft w:val="0"/>
      <w:marRight w:val="0"/>
      <w:marTop w:val="0"/>
      <w:marBottom w:val="0"/>
      <w:divBdr>
        <w:top w:val="none" w:sz="0" w:space="0" w:color="auto"/>
        <w:left w:val="none" w:sz="0" w:space="0" w:color="auto"/>
        <w:bottom w:val="none" w:sz="0" w:space="0" w:color="auto"/>
        <w:right w:val="none" w:sz="0" w:space="0" w:color="auto"/>
      </w:divBdr>
    </w:div>
    <w:div w:id="1844733364">
      <w:bodyDiv w:val="1"/>
      <w:marLeft w:val="0"/>
      <w:marRight w:val="0"/>
      <w:marTop w:val="0"/>
      <w:marBottom w:val="0"/>
      <w:divBdr>
        <w:top w:val="none" w:sz="0" w:space="0" w:color="auto"/>
        <w:left w:val="none" w:sz="0" w:space="0" w:color="auto"/>
        <w:bottom w:val="none" w:sz="0" w:space="0" w:color="auto"/>
        <w:right w:val="none" w:sz="0" w:space="0" w:color="auto"/>
      </w:divBdr>
    </w:div>
    <w:div w:id="1846237978">
      <w:bodyDiv w:val="1"/>
      <w:marLeft w:val="0"/>
      <w:marRight w:val="0"/>
      <w:marTop w:val="0"/>
      <w:marBottom w:val="0"/>
      <w:divBdr>
        <w:top w:val="none" w:sz="0" w:space="0" w:color="auto"/>
        <w:left w:val="none" w:sz="0" w:space="0" w:color="auto"/>
        <w:bottom w:val="none" w:sz="0" w:space="0" w:color="auto"/>
        <w:right w:val="none" w:sz="0" w:space="0" w:color="auto"/>
      </w:divBdr>
    </w:div>
    <w:div w:id="1864973072">
      <w:bodyDiv w:val="1"/>
      <w:marLeft w:val="0"/>
      <w:marRight w:val="0"/>
      <w:marTop w:val="0"/>
      <w:marBottom w:val="0"/>
      <w:divBdr>
        <w:top w:val="none" w:sz="0" w:space="0" w:color="auto"/>
        <w:left w:val="none" w:sz="0" w:space="0" w:color="auto"/>
        <w:bottom w:val="none" w:sz="0" w:space="0" w:color="auto"/>
        <w:right w:val="none" w:sz="0" w:space="0" w:color="auto"/>
      </w:divBdr>
    </w:div>
    <w:div w:id="1866014711">
      <w:bodyDiv w:val="1"/>
      <w:marLeft w:val="0"/>
      <w:marRight w:val="0"/>
      <w:marTop w:val="0"/>
      <w:marBottom w:val="0"/>
      <w:divBdr>
        <w:top w:val="none" w:sz="0" w:space="0" w:color="auto"/>
        <w:left w:val="none" w:sz="0" w:space="0" w:color="auto"/>
        <w:bottom w:val="none" w:sz="0" w:space="0" w:color="auto"/>
        <w:right w:val="none" w:sz="0" w:space="0" w:color="auto"/>
      </w:divBdr>
      <w:divsChild>
        <w:div w:id="755904133">
          <w:marLeft w:val="547"/>
          <w:marRight w:val="0"/>
          <w:marTop w:val="0"/>
          <w:marBottom w:val="0"/>
          <w:divBdr>
            <w:top w:val="none" w:sz="0" w:space="0" w:color="auto"/>
            <w:left w:val="none" w:sz="0" w:space="0" w:color="auto"/>
            <w:bottom w:val="none" w:sz="0" w:space="0" w:color="auto"/>
            <w:right w:val="none" w:sz="0" w:space="0" w:color="auto"/>
          </w:divBdr>
        </w:div>
        <w:div w:id="1075739259">
          <w:marLeft w:val="547"/>
          <w:marRight w:val="0"/>
          <w:marTop w:val="0"/>
          <w:marBottom w:val="0"/>
          <w:divBdr>
            <w:top w:val="none" w:sz="0" w:space="0" w:color="auto"/>
            <w:left w:val="none" w:sz="0" w:space="0" w:color="auto"/>
            <w:bottom w:val="none" w:sz="0" w:space="0" w:color="auto"/>
            <w:right w:val="none" w:sz="0" w:space="0" w:color="auto"/>
          </w:divBdr>
        </w:div>
      </w:divsChild>
    </w:div>
    <w:div w:id="1871795314">
      <w:bodyDiv w:val="1"/>
      <w:marLeft w:val="0"/>
      <w:marRight w:val="0"/>
      <w:marTop w:val="0"/>
      <w:marBottom w:val="0"/>
      <w:divBdr>
        <w:top w:val="none" w:sz="0" w:space="0" w:color="auto"/>
        <w:left w:val="none" w:sz="0" w:space="0" w:color="auto"/>
        <w:bottom w:val="none" w:sz="0" w:space="0" w:color="auto"/>
        <w:right w:val="none" w:sz="0" w:space="0" w:color="auto"/>
      </w:divBdr>
    </w:div>
    <w:div w:id="1871796050">
      <w:bodyDiv w:val="1"/>
      <w:marLeft w:val="0"/>
      <w:marRight w:val="0"/>
      <w:marTop w:val="0"/>
      <w:marBottom w:val="0"/>
      <w:divBdr>
        <w:top w:val="none" w:sz="0" w:space="0" w:color="auto"/>
        <w:left w:val="none" w:sz="0" w:space="0" w:color="auto"/>
        <w:bottom w:val="none" w:sz="0" w:space="0" w:color="auto"/>
        <w:right w:val="none" w:sz="0" w:space="0" w:color="auto"/>
      </w:divBdr>
    </w:div>
    <w:div w:id="1876582637">
      <w:bodyDiv w:val="1"/>
      <w:marLeft w:val="0"/>
      <w:marRight w:val="0"/>
      <w:marTop w:val="0"/>
      <w:marBottom w:val="0"/>
      <w:divBdr>
        <w:top w:val="none" w:sz="0" w:space="0" w:color="auto"/>
        <w:left w:val="none" w:sz="0" w:space="0" w:color="auto"/>
        <w:bottom w:val="none" w:sz="0" w:space="0" w:color="auto"/>
        <w:right w:val="none" w:sz="0" w:space="0" w:color="auto"/>
      </w:divBdr>
    </w:div>
    <w:div w:id="1877769504">
      <w:bodyDiv w:val="1"/>
      <w:marLeft w:val="0"/>
      <w:marRight w:val="0"/>
      <w:marTop w:val="0"/>
      <w:marBottom w:val="0"/>
      <w:divBdr>
        <w:top w:val="none" w:sz="0" w:space="0" w:color="auto"/>
        <w:left w:val="none" w:sz="0" w:space="0" w:color="auto"/>
        <w:bottom w:val="none" w:sz="0" w:space="0" w:color="auto"/>
        <w:right w:val="none" w:sz="0" w:space="0" w:color="auto"/>
      </w:divBdr>
    </w:div>
    <w:div w:id="1888176862">
      <w:bodyDiv w:val="1"/>
      <w:marLeft w:val="0"/>
      <w:marRight w:val="0"/>
      <w:marTop w:val="0"/>
      <w:marBottom w:val="0"/>
      <w:divBdr>
        <w:top w:val="none" w:sz="0" w:space="0" w:color="auto"/>
        <w:left w:val="none" w:sz="0" w:space="0" w:color="auto"/>
        <w:bottom w:val="none" w:sz="0" w:space="0" w:color="auto"/>
        <w:right w:val="none" w:sz="0" w:space="0" w:color="auto"/>
      </w:divBdr>
    </w:div>
    <w:div w:id="1889760108">
      <w:bodyDiv w:val="1"/>
      <w:marLeft w:val="0"/>
      <w:marRight w:val="0"/>
      <w:marTop w:val="0"/>
      <w:marBottom w:val="0"/>
      <w:divBdr>
        <w:top w:val="none" w:sz="0" w:space="0" w:color="auto"/>
        <w:left w:val="none" w:sz="0" w:space="0" w:color="auto"/>
        <w:bottom w:val="none" w:sz="0" w:space="0" w:color="auto"/>
        <w:right w:val="none" w:sz="0" w:space="0" w:color="auto"/>
      </w:divBdr>
    </w:div>
    <w:div w:id="1891114059">
      <w:bodyDiv w:val="1"/>
      <w:marLeft w:val="0"/>
      <w:marRight w:val="0"/>
      <w:marTop w:val="0"/>
      <w:marBottom w:val="0"/>
      <w:divBdr>
        <w:top w:val="none" w:sz="0" w:space="0" w:color="auto"/>
        <w:left w:val="none" w:sz="0" w:space="0" w:color="auto"/>
        <w:bottom w:val="none" w:sz="0" w:space="0" w:color="auto"/>
        <w:right w:val="none" w:sz="0" w:space="0" w:color="auto"/>
      </w:divBdr>
    </w:div>
    <w:div w:id="1899851721">
      <w:bodyDiv w:val="1"/>
      <w:marLeft w:val="0"/>
      <w:marRight w:val="0"/>
      <w:marTop w:val="0"/>
      <w:marBottom w:val="0"/>
      <w:divBdr>
        <w:top w:val="none" w:sz="0" w:space="0" w:color="auto"/>
        <w:left w:val="none" w:sz="0" w:space="0" w:color="auto"/>
        <w:bottom w:val="none" w:sz="0" w:space="0" w:color="auto"/>
        <w:right w:val="none" w:sz="0" w:space="0" w:color="auto"/>
      </w:divBdr>
    </w:div>
    <w:div w:id="1907572980">
      <w:bodyDiv w:val="1"/>
      <w:marLeft w:val="0"/>
      <w:marRight w:val="0"/>
      <w:marTop w:val="0"/>
      <w:marBottom w:val="0"/>
      <w:divBdr>
        <w:top w:val="none" w:sz="0" w:space="0" w:color="auto"/>
        <w:left w:val="none" w:sz="0" w:space="0" w:color="auto"/>
        <w:bottom w:val="none" w:sz="0" w:space="0" w:color="auto"/>
        <w:right w:val="none" w:sz="0" w:space="0" w:color="auto"/>
      </w:divBdr>
    </w:div>
    <w:div w:id="1907908892">
      <w:bodyDiv w:val="1"/>
      <w:marLeft w:val="0"/>
      <w:marRight w:val="0"/>
      <w:marTop w:val="0"/>
      <w:marBottom w:val="0"/>
      <w:divBdr>
        <w:top w:val="none" w:sz="0" w:space="0" w:color="auto"/>
        <w:left w:val="none" w:sz="0" w:space="0" w:color="auto"/>
        <w:bottom w:val="none" w:sz="0" w:space="0" w:color="auto"/>
        <w:right w:val="none" w:sz="0" w:space="0" w:color="auto"/>
      </w:divBdr>
    </w:div>
    <w:div w:id="1910729039">
      <w:bodyDiv w:val="1"/>
      <w:marLeft w:val="0"/>
      <w:marRight w:val="0"/>
      <w:marTop w:val="0"/>
      <w:marBottom w:val="0"/>
      <w:divBdr>
        <w:top w:val="none" w:sz="0" w:space="0" w:color="auto"/>
        <w:left w:val="none" w:sz="0" w:space="0" w:color="auto"/>
        <w:bottom w:val="none" w:sz="0" w:space="0" w:color="auto"/>
        <w:right w:val="none" w:sz="0" w:space="0" w:color="auto"/>
      </w:divBdr>
    </w:div>
    <w:div w:id="1925608703">
      <w:bodyDiv w:val="1"/>
      <w:marLeft w:val="0"/>
      <w:marRight w:val="0"/>
      <w:marTop w:val="0"/>
      <w:marBottom w:val="0"/>
      <w:divBdr>
        <w:top w:val="none" w:sz="0" w:space="0" w:color="auto"/>
        <w:left w:val="none" w:sz="0" w:space="0" w:color="auto"/>
        <w:bottom w:val="none" w:sz="0" w:space="0" w:color="auto"/>
        <w:right w:val="none" w:sz="0" w:space="0" w:color="auto"/>
      </w:divBdr>
    </w:div>
    <w:div w:id="1934123933">
      <w:bodyDiv w:val="1"/>
      <w:marLeft w:val="0"/>
      <w:marRight w:val="0"/>
      <w:marTop w:val="0"/>
      <w:marBottom w:val="0"/>
      <w:divBdr>
        <w:top w:val="none" w:sz="0" w:space="0" w:color="auto"/>
        <w:left w:val="none" w:sz="0" w:space="0" w:color="auto"/>
        <w:bottom w:val="none" w:sz="0" w:space="0" w:color="auto"/>
        <w:right w:val="none" w:sz="0" w:space="0" w:color="auto"/>
      </w:divBdr>
    </w:div>
    <w:div w:id="1957565365">
      <w:bodyDiv w:val="1"/>
      <w:marLeft w:val="0"/>
      <w:marRight w:val="0"/>
      <w:marTop w:val="0"/>
      <w:marBottom w:val="0"/>
      <w:divBdr>
        <w:top w:val="none" w:sz="0" w:space="0" w:color="auto"/>
        <w:left w:val="none" w:sz="0" w:space="0" w:color="auto"/>
        <w:bottom w:val="none" w:sz="0" w:space="0" w:color="auto"/>
        <w:right w:val="none" w:sz="0" w:space="0" w:color="auto"/>
      </w:divBdr>
    </w:div>
    <w:div w:id="1959796288">
      <w:bodyDiv w:val="1"/>
      <w:marLeft w:val="0"/>
      <w:marRight w:val="0"/>
      <w:marTop w:val="0"/>
      <w:marBottom w:val="0"/>
      <w:divBdr>
        <w:top w:val="none" w:sz="0" w:space="0" w:color="auto"/>
        <w:left w:val="none" w:sz="0" w:space="0" w:color="auto"/>
        <w:bottom w:val="none" w:sz="0" w:space="0" w:color="auto"/>
        <w:right w:val="none" w:sz="0" w:space="0" w:color="auto"/>
      </w:divBdr>
    </w:div>
    <w:div w:id="1961065224">
      <w:bodyDiv w:val="1"/>
      <w:marLeft w:val="0"/>
      <w:marRight w:val="0"/>
      <w:marTop w:val="0"/>
      <w:marBottom w:val="0"/>
      <w:divBdr>
        <w:top w:val="none" w:sz="0" w:space="0" w:color="auto"/>
        <w:left w:val="none" w:sz="0" w:space="0" w:color="auto"/>
        <w:bottom w:val="none" w:sz="0" w:space="0" w:color="auto"/>
        <w:right w:val="none" w:sz="0" w:space="0" w:color="auto"/>
      </w:divBdr>
    </w:div>
    <w:div w:id="1964730925">
      <w:bodyDiv w:val="1"/>
      <w:marLeft w:val="0"/>
      <w:marRight w:val="0"/>
      <w:marTop w:val="0"/>
      <w:marBottom w:val="0"/>
      <w:divBdr>
        <w:top w:val="none" w:sz="0" w:space="0" w:color="auto"/>
        <w:left w:val="none" w:sz="0" w:space="0" w:color="auto"/>
        <w:bottom w:val="none" w:sz="0" w:space="0" w:color="auto"/>
        <w:right w:val="none" w:sz="0" w:space="0" w:color="auto"/>
      </w:divBdr>
    </w:div>
    <w:div w:id="1969896459">
      <w:bodyDiv w:val="1"/>
      <w:marLeft w:val="0"/>
      <w:marRight w:val="0"/>
      <w:marTop w:val="0"/>
      <w:marBottom w:val="0"/>
      <w:divBdr>
        <w:top w:val="none" w:sz="0" w:space="0" w:color="auto"/>
        <w:left w:val="none" w:sz="0" w:space="0" w:color="auto"/>
        <w:bottom w:val="none" w:sz="0" w:space="0" w:color="auto"/>
        <w:right w:val="none" w:sz="0" w:space="0" w:color="auto"/>
      </w:divBdr>
    </w:div>
    <w:div w:id="1986349462">
      <w:bodyDiv w:val="1"/>
      <w:marLeft w:val="0"/>
      <w:marRight w:val="0"/>
      <w:marTop w:val="0"/>
      <w:marBottom w:val="0"/>
      <w:divBdr>
        <w:top w:val="none" w:sz="0" w:space="0" w:color="auto"/>
        <w:left w:val="none" w:sz="0" w:space="0" w:color="auto"/>
        <w:bottom w:val="none" w:sz="0" w:space="0" w:color="auto"/>
        <w:right w:val="none" w:sz="0" w:space="0" w:color="auto"/>
      </w:divBdr>
    </w:div>
    <w:div w:id="1987540024">
      <w:bodyDiv w:val="1"/>
      <w:marLeft w:val="0"/>
      <w:marRight w:val="0"/>
      <w:marTop w:val="0"/>
      <w:marBottom w:val="0"/>
      <w:divBdr>
        <w:top w:val="none" w:sz="0" w:space="0" w:color="auto"/>
        <w:left w:val="none" w:sz="0" w:space="0" w:color="auto"/>
        <w:bottom w:val="none" w:sz="0" w:space="0" w:color="auto"/>
        <w:right w:val="none" w:sz="0" w:space="0" w:color="auto"/>
      </w:divBdr>
    </w:div>
    <w:div w:id="1988128210">
      <w:bodyDiv w:val="1"/>
      <w:marLeft w:val="0"/>
      <w:marRight w:val="0"/>
      <w:marTop w:val="0"/>
      <w:marBottom w:val="0"/>
      <w:divBdr>
        <w:top w:val="none" w:sz="0" w:space="0" w:color="auto"/>
        <w:left w:val="none" w:sz="0" w:space="0" w:color="auto"/>
        <w:bottom w:val="none" w:sz="0" w:space="0" w:color="auto"/>
        <w:right w:val="none" w:sz="0" w:space="0" w:color="auto"/>
      </w:divBdr>
    </w:div>
    <w:div w:id="1989817208">
      <w:bodyDiv w:val="1"/>
      <w:marLeft w:val="0"/>
      <w:marRight w:val="0"/>
      <w:marTop w:val="0"/>
      <w:marBottom w:val="0"/>
      <w:divBdr>
        <w:top w:val="none" w:sz="0" w:space="0" w:color="auto"/>
        <w:left w:val="none" w:sz="0" w:space="0" w:color="auto"/>
        <w:bottom w:val="none" w:sz="0" w:space="0" w:color="auto"/>
        <w:right w:val="none" w:sz="0" w:space="0" w:color="auto"/>
      </w:divBdr>
    </w:div>
    <w:div w:id="1990935164">
      <w:bodyDiv w:val="1"/>
      <w:marLeft w:val="0"/>
      <w:marRight w:val="0"/>
      <w:marTop w:val="0"/>
      <w:marBottom w:val="0"/>
      <w:divBdr>
        <w:top w:val="none" w:sz="0" w:space="0" w:color="auto"/>
        <w:left w:val="none" w:sz="0" w:space="0" w:color="auto"/>
        <w:bottom w:val="none" w:sz="0" w:space="0" w:color="auto"/>
        <w:right w:val="none" w:sz="0" w:space="0" w:color="auto"/>
      </w:divBdr>
    </w:div>
    <w:div w:id="2010405414">
      <w:bodyDiv w:val="1"/>
      <w:marLeft w:val="0"/>
      <w:marRight w:val="0"/>
      <w:marTop w:val="0"/>
      <w:marBottom w:val="0"/>
      <w:divBdr>
        <w:top w:val="none" w:sz="0" w:space="0" w:color="auto"/>
        <w:left w:val="none" w:sz="0" w:space="0" w:color="auto"/>
        <w:bottom w:val="none" w:sz="0" w:space="0" w:color="auto"/>
        <w:right w:val="none" w:sz="0" w:space="0" w:color="auto"/>
      </w:divBdr>
    </w:div>
    <w:div w:id="2017345872">
      <w:bodyDiv w:val="1"/>
      <w:marLeft w:val="0"/>
      <w:marRight w:val="0"/>
      <w:marTop w:val="0"/>
      <w:marBottom w:val="0"/>
      <w:divBdr>
        <w:top w:val="none" w:sz="0" w:space="0" w:color="auto"/>
        <w:left w:val="none" w:sz="0" w:space="0" w:color="auto"/>
        <w:bottom w:val="none" w:sz="0" w:space="0" w:color="auto"/>
        <w:right w:val="none" w:sz="0" w:space="0" w:color="auto"/>
      </w:divBdr>
    </w:div>
    <w:div w:id="2020619192">
      <w:bodyDiv w:val="1"/>
      <w:marLeft w:val="0"/>
      <w:marRight w:val="0"/>
      <w:marTop w:val="0"/>
      <w:marBottom w:val="0"/>
      <w:divBdr>
        <w:top w:val="none" w:sz="0" w:space="0" w:color="auto"/>
        <w:left w:val="none" w:sz="0" w:space="0" w:color="auto"/>
        <w:bottom w:val="none" w:sz="0" w:space="0" w:color="auto"/>
        <w:right w:val="none" w:sz="0" w:space="0" w:color="auto"/>
      </w:divBdr>
    </w:div>
    <w:div w:id="2022469437">
      <w:bodyDiv w:val="1"/>
      <w:marLeft w:val="0"/>
      <w:marRight w:val="0"/>
      <w:marTop w:val="0"/>
      <w:marBottom w:val="0"/>
      <w:divBdr>
        <w:top w:val="none" w:sz="0" w:space="0" w:color="auto"/>
        <w:left w:val="none" w:sz="0" w:space="0" w:color="auto"/>
        <w:bottom w:val="none" w:sz="0" w:space="0" w:color="auto"/>
        <w:right w:val="none" w:sz="0" w:space="0" w:color="auto"/>
      </w:divBdr>
    </w:div>
    <w:div w:id="2027053847">
      <w:bodyDiv w:val="1"/>
      <w:marLeft w:val="0"/>
      <w:marRight w:val="0"/>
      <w:marTop w:val="0"/>
      <w:marBottom w:val="0"/>
      <w:divBdr>
        <w:top w:val="none" w:sz="0" w:space="0" w:color="auto"/>
        <w:left w:val="none" w:sz="0" w:space="0" w:color="auto"/>
        <w:bottom w:val="none" w:sz="0" w:space="0" w:color="auto"/>
        <w:right w:val="none" w:sz="0" w:space="0" w:color="auto"/>
      </w:divBdr>
    </w:div>
    <w:div w:id="2045404575">
      <w:bodyDiv w:val="1"/>
      <w:marLeft w:val="0"/>
      <w:marRight w:val="0"/>
      <w:marTop w:val="0"/>
      <w:marBottom w:val="0"/>
      <w:divBdr>
        <w:top w:val="none" w:sz="0" w:space="0" w:color="auto"/>
        <w:left w:val="none" w:sz="0" w:space="0" w:color="auto"/>
        <w:bottom w:val="none" w:sz="0" w:space="0" w:color="auto"/>
        <w:right w:val="none" w:sz="0" w:space="0" w:color="auto"/>
      </w:divBdr>
    </w:div>
    <w:div w:id="2047757774">
      <w:bodyDiv w:val="1"/>
      <w:marLeft w:val="0"/>
      <w:marRight w:val="0"/>
      <w:marTop w:val="0"/>
      <w:marBottom w:val="0"/>
      <w:divBdr>
        <w:top w:val="none" w:sz="0" w:space="0" w:color="auto"/>
        <w:left w:val="none" w:sz="0" w:space="0" w:color="auto"/>
        <w:bottom w:val="none" w:sz="0" w:space="0" w:color="auto"/>
        <w:right w:val="none" w:sz="0" w:space="0" w:color="auto"/>
      </w:divBdr>
    </w:div>
    <w:div w:id="2052609431">
      <w:bodyDiv w:val="1"/>
      <w:marLeft w:val="0"/>
      <w:marRight w:val="0"/>
      <w:marTop w:val="0"/>
      <w:marBottom w:val="0"/>
      <w:divBdr>
        <w:top w:val="none" w:sz="0" w:space="0" w:color="auto"/>
        <w:left w:val="none" w:sz="0" w:space="0" w:color="auto"/>
        <w:bottom w:val="none" w:sz="0" w:space="0" w:color="auto"/>
        <w:right w:val="none" w:sz="0" w:space="0" w:color="auto"/>
      </w:divBdr>
    </w:div>
    <w:div w:id="2059427121">
      <w:bodyDiv w:val="1"/>
      <w:marLeft w:val="0"/>
      <w:marRight w:val="0"/>
      <w:marTop w:val="0"/>
      <w:marBottom w:val="0"/>
      <w:divBdr>
        <w:top w:val="none" w:sz="0" w:space="0" w:color="auto"/>
        <w:left w:val="none" w:sz="0" w:space="0" w:color="auto"/>
        <w:bottom w:val="none" w:sz="0" w:space="0" w:color="auto"/>
        <w:right w:val="none" w:sz="0" w:space="0" w:color="auto"/>
      </w:divBdr>
    </w:div>
    <w:div w:id="2060279526">
      <w:bodyDiv w:val="1"/>
      <w:marLeft w:val="0"/>
      <w:marRight w:val="0"/>
      <w:marTop w:val="0"/>
      <w:marBottom w:val="0"/>
      <w:divBdr>
        <w:top w:val="none" w:sz="0" w:space="0" w:color="auto"/>
        <w:left w:val="none" w:sz="0" w:space="0" w:color="auto"/>
        <w:bottom w:val="none" w:sz="0" w:space="0" w:color="auto"/>
        <w:right w:val="none" w:sz="0" w:space="0" w:color="auto"/>
      </w:divBdr>
    </w:div>
    <w:div w:id="2062166627">
      <w:bodyDiv w:val="1"/>
      <w:marLeft w:val="0"/>
      <w:marRight w:val="0"/>
      <w:marTop w:val="0"/>
      <w:marBottom w:val="0"/>
      <w:divBdr>
        <w:top w:val="none" w:sz="0" w:space="0" w:color="auto"/>
        <w:left w:val="none" w:sz="0" w:space="0" w:color="auto"/>
        <w:bottom w:val="none" w:sz="0" w:space="0" w:color="auto"/>
        <w:right w:val="none" w:sz="0" w:space="0" w:color="auto"/>
      </w:divBdr>
    </w:div>
    <w:div w:id="2064519395">
      <w:bodyDiv w:val="1"/>
      <w:marLeft w:val="0"/>
      <w:marRight w:val="0"/>
      <w:marTop w:val="0"/>
      <w:marBottom w:val="0"/>
      <w:divBdr>
        <w:top w:val="none" w:sz="0" w:space="0" w:color="auto"/>
        <w:left w:val="none" w:sz="0" w:space="0" w:color="auto"/>
        <w:bottom w:val="none" w:sz="0" w:space="0" w:color="auto"/>
        <w:right w:val="none" w:sz="0" w:space="0" w:color="auto"/>
      </w:divBdr>
    </w:div>
    <w:div w:id="2070036788">
      <w:bodyDiv w:val="1"/>
      <w:marLeft w:val="0"/>
      <w:marRight w:val="0"/>
      <w:marTop w:val="0"/>
      <w:marBottom w:val="0"/>
      <w:divBdr>
        <w:top w:val="none" w:sz="0" w:space="0" w:color="auto"/>
        <w:left w:val="none" w:sz="0" w:space="0" w:color="auto"/>
        <w:bottom w:val="none" w:sz="0" w:space="0" w:color="auto"/>
        <w:right w:val="none" w:sz="0" w:space="0" w:color="auto"/>
      </w:divBdr>
    </w:div>
    <w:div w:id="2070107054">
      <w:bodyDiv w:val="1"/>
      <w:marLeft w:val="0"/>
      <w:marRight w:val="0"/>
      <w:marTop w:val="0"/>
      <w:marBottom w:val="0"/>
      <w:divBdr>
        <w:top w:val="none" w:sz="0" w:space="0" w:color="auto"/>
        <w:left w:val="none" w:sz="0" w:space="0" w:color="auto"/>
        <w:bottom w:val="none" w:sz="0" w:space="0" w:color="auto"/>
        <w:right w:val="none" w:sz="0" w:space="0" w:color="auto"/>
      </w:divBdr>
    </w:div>
    <w:div w:id="2080059760">
      <w:bodyDiv w:val="1"/>
      <w:marLeft w:val="0"/>
      <w:marRight w:val="0"/>
      <w:marTop w:val="0"/>
      <w:marBottom w:val="0"/>
      <w:divBdr>
        <w:top w:val="none" w:sz="0" w:space="0" w:color="auto"/>
        <w:left w:val="none" w:sz="0" w:space="0" w:color="auto"/>
        <w:bottom w:val="none" w:sz="0" w:space="0" w:color="auto"/>
        <w:right w:val="none" w:sz="0" w:space="0" w:color="auto"/>
      </w:divBdr>
    </w:div>
    <w:div w:id="2086683964">
      <w:bodyDiv w:val="1"/>
      <w:marLeft w:val="0"/>
      <w:marRight w:val="0"/>
      <w:marTop w:val="0"/>
      <w:marBottom w:val="0"/>
      <w:divBdr>
        <w:top w:val="none" w:sz="0" w:space="0" w:color="auto"/>
        <w:left w:val="none" w:sz="0" w:space="0" w:color="auto"/>
        <w:bottom w:val="none" w:sz="0" w:space="0" w:color="auto"/>
        <w:right w:val="none" w:sz="0" w:space="0" w:color="auto"/>
      </w:divBdr>
    </w:div>
    <w:div w:id="2091659439">
      <w:bodyDiv w:val="1"/>
      <w:marLeft w:val="0"/>
      <w:marRight w:val="0"/>
      <w:marTop w:val="0"/>
      <w:marBottom w:val="0"/>
      <w:divBdr>
        <w:top w:val="none" w:sz="0" w:space="0" w:color="auto"/>
        <w:left w:val="none" w:sz="0" w:space="0" w:color="auto"/>
        <w:bottom w:val="none" w:sz="0" w:space="0" w:color="auto"/>
        <w:right w:val="none" w:sz="0" w:space="0" w:color="auto"/>
      </w:divBdr>
    </w:div>
    <w:div w:id="2095468796">
      <w:bodyDiv w:val="1"/>
      <w:marLeft w:val="0"/>
      <w:marRight w:val="0"/>
      <w:marTop w:val="0"/>
      <w:marBottom w:val="0"/>
      <w:divBdr>
        <w:top w:val="none" w:sz="0" w:space="0" w:color="auto"/>
        <w:left w:val="none" w:sz="0" w:space="0" w:color="auto"/>
        <w:bottom w:val="none" w:sz="0" w:space="0" w:color="auto"/>
        <w:right w:val="none" w:sz="0" w:space="0" w:color="auto"/>
      </w:divBdr>
    </w:div>
    <w:div w:id="2098864649">
      <w:bodyDiv w:val="1"/>
      <w:marLeft w:val="0"/>
      <w:marRight w:val="0"/>
      <w:marTop w:val="0"/>
      <w:marBottom w:val="0"/>
      <w:divBdr>
        <w:top w:val="none" w:sz="0" w:space="0" w:color="auto"/>
        <w:left w:val="none" w:sz="0" w:space="0" w:color="auto"/>
        <w:bottom w:val="none" w:sz="0" w:space="0" w:color="auto"/>
        <w:right w:val="none" w:sz="0" w:space="0" w:color="auto"/>
      </w:divBdr>
    </w:div>
    <w:div w:id="2101830439">
      <w:bodyDiv w:val="1"/>
      <w:marLeft w:val="0"/>
      <w:marRight w:val="0"/>
      <w:marTop w:val="0"/>
      <w:marBottom w:val="0"/>
      <w:divBdr>
        <w:top w:val="none" w:sz="0" w:space="0" w:color="auto"/>
        <w:left w:val="none" w:sz="0" w:space="0" w:color="auto"/>
        <w:bottom w:val="none" w:sz="0" w:space="0" w:color="auto"/>
        <w:right w:val="none" w:sz="0" w:space="0" w:color="auto"/>
      </w:divBdr>
    </w:div>
    <w:div w:id="2113357197">
      <w:bodyDiv w:val="1"/>
      <w:marLeft w:val="0"/>
      <w:marRight w:val="0"/>
      <w:marTop w:val="0"/>
      <w:marBottom w:val="0"/>
      <w:divBdr>
        <w:top w:val="none" w:sz="0" w:space="0" w:color="auto"/>
        <w:left w:val="none" w:sz="0" w:space="0" w:color="auto"/>
        <w:bottom w:val="none" w:sz="0" w:space="0" w:color="auto"/>
        <w:right w:val="none" w:sz="0" w:space="0" w:color="auto"/>
      </w:divBdr>
    </w:div>
    <w:div w:id="2119905601">
      <w:bodyDiv w:val="1"/>
      <w:marLeft w:val="0"/>
      <w:marRight w:val="0"/>
      <w:marTop w:val="0"/>
      <w:marBottom w:val="0"/>
      <w:divBdr>
        <w:top w:val="none" w:sz="0" w:space="0" w:color="auto"/>
        <w:left w:val="none" w:sz="0" w:space="0" w:color="auto"/>
        <w:bottom w:val="none" w:sz="0" w:space="0" w:color="auto"/>
        <w:right w:val="none" w:sz="0" w:space="0" w:color="auto"/>
      </w:divBdr>
    </w:div>
    <w:div w:id="2123843493">
      <w:bodyDiv w:val="1"/>
      <w:marLeft w:val="0"/>
      <w:marRight w:val="0"/>
      <w:marTop w:val="0"/>
      <w:marBottom w:val="0"/>
      <w:divBdr>
        <w:top w:val="none" w:sz="0" w:space="0" w:color="auto"/>
        <w:left w:val="none" w:sz="0" w:space="0" w:color="auto"/>
        <w:bottom w:val="none" w:sz="0" w:space="0" w:color="auto"/>
        <w:right w:val="none" w:sz="0" w:space="0" w:color="auto"/>
      </w:divBdr>
    </w:div>
    <w:div w:id="2124373914">
      <w:bodyDiv w:val="1"/>
      <w:marLeft w:val="0"/>
      <w:marRight w:val="0"/>
      <w:marTop w:val="0"/>
      <w:marBottom w:val="0"/>
      <w:divBdr>
        <w:top w:val="none" w:sz="0" w:space="0" w:color="auto"/>
        <w:left w:val="none" w:sz="0" w:space="0" w:color="auto"/>
        <w:bottom w:val="none" w:sz="0" w:space="0" w:color="auto"/>
        <w:right w:val="none" w:sz="0" w:space="0" w:color="auto"/>
      </w:divBdr>
    </w:div>
    <w:div w:id="2124494224">
      <w:bodyDiv w:val="1"/>
      <w:marLeft w:val="0"/>
      <w:marRight w:val="0"/>
      <w:marTop w:val="0"/>
      <w:marBottom w:val="0"/>
      <w:divBdr>
        <w:top w:val="none" w:sz="0" w:space="0" w:color="auto"/>
        <w:left w:val="none" w:sz="0" w:space="0" w:color="auto"/>
        <w:bottom w:val="none" w:sz="0" w:space="0" w:color="auto"/>
        <w:right w:val="none" w:sz="0" w:space="0" w:color="auto"/>
      </w:divBdr>
    </w:div>
    <w:div w:id="2127963475">
      <w:bodyDiv w:val="1"/>
      <w:marLeft w:val="0"/>
      <w:marRight w:val="0"/>
      <w:marTop w:val="0"/>
      <w:marBottom w:val="0"/>
      <w:divBdr>
        <w:top w:val="none" w:sz="0" w:space="0" w:color="auto"/>
        <w:left w:val="none" w:sz="0" w:space="0" w:color="auto"/>
        <w:bottom w:val="none" w:sz="0" w:space="0" w:color="auto"/>
        <w:right w:val="none" w:sz="0" w:space="0" w:color="auto"/>
      </w:divBdr>
    </w:div>
    <w:div w:id="2140027600">
      <w:bodyDiv w:val="1"/>
      <w:marLeft w:val="0"/>
      <w:marRight w:val="0"/>
      <w:marTop w:val="0"/>
      <w:marBottom w:val="0"/>
      <w:divBdr>
        <w:top w:val="none" w:sz="0" w:space="0" w:color="auto"/>
        <w:left w:val="none" w:sz="0" w:space="0" w:color="auto"/>
        <w:bottom w:val="none" w:sz="0" w:space="0" w:color="auto"/>
        <w:right w:val="none" w:sz="0" w:space="0" w:color="auto"/>
      </w:divBdr>
    </w:div>
    <w:div w:id="214179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image" Target="media/image2.tmp"/><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diagramLayout" Target="diagrams/layout2.xml"/><Relationship Id="rId33"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hyperlink" Target="http://www.sandnes-sparebank.no" TargetMode="External"/><Relationship Id="rId20" Type="http://schemas.openxmlformats.org/officeDocument/2006/relationships/diagramQuickStyle" Target="diagrams/quickStyle1.xml"/><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chart" Target="charts/chart2.xml"/><Relationship Id="rId28" Type="http://schemas.microsoft.com/office/2007/relationships/diagramDrawing" Target="diagrams/drawing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Layout" Target="diagrams/layout1.xml"/><Relationship Id="rId31" Type="http://schemas.openxmlformats.org/officeDocument/2006/relationships/diagramQuickStyle" Target="diagrams/quickStyle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diagramDrawing" Target="diagrams/drawing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WWCLFS001\Avdeling\Risk\Diverse%20prosjekter\Pilar%20III\2014\Data\Pilar_III_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WWCLFS001\Avdeling\Risk\Diverse%20prosjekter\Pilar%20III\2014\Data\Pilar_III_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4129483814523"/>
          <c:y val="3.2606518898794054E-2"/>
          <c:w val="0.67808092738407755"/>
          <c:h val="0.73572444413611315"/>
        </c:manualLayout>
      </c:layout>
      <c:barChart>
        <c:barDir val="col"/>
        <c:grouping val="stacked"/>
        <c:varyColors val="0"/>
        <c:ser>
          <c:idx val="0"/>
          <c:order val="0"/>
          <c:tx>
            <c:strRef>
              <c:f>'Kapitalkrav - Basel III'!$G$22</c:f>
              <c:strCache>
                <c:ptCount val="1"/>
                <c:pt idx="0">
                  <c:v>Minstekrav til ren kjernekapital</c:v>
                </c:pt>
              </c:strCache>
            </c:strRef>
          </c:tx>
          <c:spPr>
            <a:solidFill>
              <a:srgbClr val="00B050"/>
            </a:solidFill>
          </c:spPr>
          <c:invertIfNegative val="0"/>
          <c:dLbls>
            <c:dLbl>
              <c:idx val="1"/>
              <c:delete val="1"/>
            </c:dLbl>
            <c:dLbl>
              <c:idx val="2"/>
              <c:delete val="1"/>
            </c:dLbl>
            <c:numFmt formatCode="0.0\ %" sourceLinked="0"/>
            <c:showLegendKey val="0"/>
            <c:showVal val="1"/>
            <c:showCatName val="0"/>
            <c:showSerName val="0"/>
            <c:showPercent val="0"/>
            <c:showBubbleSize val="0"/>
            <c:showLeaderLines val="0"/>
          </c:dLbls>
          <c:cat>
            <c:numRef>
              <c:f>'Kapitalkrav - Basel III'!$J$14:$M$14</c:f>
              <c:numCache>
                <c:formatCode>[$-414]mmm/\ yy;@</c:formatCode>
                <c:ptCount val="4"/>
                <c:pt idx="0">
                  <c:v>41821</c:v>
                </c:pt>
                <c:pt idx="1">
                  <c:v>42005</c:v>
                </c:pt>
                <c:pt idx="2">
                  <c:v>42186</c:v>
                </c:pt>
                <c:pt idx="3">
                  <c:v>42552</c:v>
                </c:pt>
              </c:numCache>
            </c:numRef>
          </c:cat>
          <c:val>
            <c:numRef>
              <c:f>'Kapitalkrav - Basel III'!$I$22:$L$22</c:f>
              <c:numCache>
                <c:formatCode>0.00%</c:formatCode>
                <c:ptCount val="4"/>
                <c:pt idx="0">
                  <c:v>4.4999999999999998E-2</c:v>
                </c:pt>
                <c:pt idx="1">
                  <c:v>4.4999999999999998E-2</c:v>
                </c:pt>
                <c:pt idx="2">
                  <c:v>4.4999999999999998E-2</c:v>
                </c:pt>
                <c:pt idx="3">
                  <c:v>4.4999999999999998E-2</c:v>
                </c:pt>
              </c:numCache>
            </c:numRef>
          </c:val>
        </c:ser>
        <c:ser>
          <c:idx val="1"/>
          <c:order val="1"/>
          <c:tx>
            <c:strRef>
              <c:f>'Kapitalkrav - Basel III'!$G$23</c:f>
              <c:strCache>
                <c:ptCount val="1"/>
                <c:pt idx="0">
                  <c:v>Bevaringsbuffer</c:v>
                </c:pt>
              </c:strCache>
            </c:strRef>
          </c:tx>
          <c:spPr>
            <a:solidFill>
              <a:srgbClr val="C00000"/>
            </a:solidFill>
          </c:spPr>
          <c:invertIfNegative val="0"/>
          <c:dLbls>
            <c:dLbl>
              <c:idx val="1"/>
              <c:delete val="1"/>
            </c:dLbl>
            <c:dLbl>
              <c:idx val="2"/>
              <c:delete val="1"/>
            </c:dLbl>
            <c:numFmt formatCode="0.0\ %" sourceLinked="0"/>
            <c:showLegendKey val="0"/>
            <c:showVal val="1"/>
            <c:showCatName val="0"/>
            <c:showSerName val="0"/>
            <c:showPercent val="0"/>
            <c:showBubbleSize val="0"/>
            <c:showLeaderLines val="0"/>
          </c:dLbls>
          <c:cat>
            <c:numRef>
              <c:f>'Kapitalkrav - Basel III'!$J$14:$M$14</c:f>
              <c:numCache>
                <c:formatCode>[$-414]mmm/\ yy;@</c:formatCode>
                <c:ptCount val="4"/>
                <c:pt idx="0">
                  <c:v>41821</c:v>
                </c:pt>
                <c:pt idx="1">
                  <c:v>42005</c:v>
                </c:pt>
                <c:pt idx="2">
                  <c:v>42186</c:v>
                </c:pt>
                <c:pt idx="3">
                  <c:v>42552</c:v>
                </c:pt>
              </c:numCache>
            </c:numRef>
          </c:cat>
          <c:val>
            <c:numRef>
              <c:f>'Kapitalkrav - Basel III'!$I$23:$L$23</c:f>
              <c:numCache>
                <c:formatCode>0.00%</c:formatCode>
                <c:ptCount val="4"/>
                <c:pt idx="0">
                  <c:v>2.5000000000000001E-2</c:v>
                </c:pt>
                <c:pt idx="1">
                  <c:v>2.5000000000000001E-2</c:v>
                </c:pt>
                <c:pt idx="2">
                  <c:v>2.5000000000000001E-2</c:v>
                </c:pt>
                <c:pt idx="3">
                  <c:v>2.5000000000000001E-2</c:v>
                </c:pt>
              </c:numCache>
            </c:numRef>
          </c:val>
        </c:ser>
        <c:ser>
          <c:idx val="2"/>
          <c:order val="2"/>
          <c:tx>
            <c:strRef>
              <c:f>'Kapitalkrav - Basel III'!$G$24</c:f>
              <c:strCache>
                <c:ptCount val="1"/>
                <c:pt idx="0">
                  <c:v>Systemrisiko buffer</c:v>
                </c:pt>
              </c:strCache>
            </c:strRef>
          </c:tx>
          <c:spPr>
            <a:solidFill>
              <a:srgbClr val="FFFF00"/>
            </a:solidFill>
          </c:spPr>
          <c:invertIfNegative val="0"/>
          <c:dLbls>
            <c:dLbl>
              <c:idx val="1"/>
              <c:delete val="1"/>
            </c:dLbl>
            <c:dLbl>
              <c:idx val="2"/>
              <c:delete val="1"/>
            </c:dLbl>
            <c:numFmt formatCode="0.0\ %" sourceLinked="0"/>
            <c:showLegendKey val="0"/>
            <c:showVal val="1"/>
            <c:showCatName val="0"/>
            <c:showSerName val="0"/>
            <c:showPercent val="0"/>
            <c:showBubbleSize val="0"/>
            <c:showLeaderLines val="0"/>
          </c:dLbls>
          <c:cat>
            <c:numRef>
              <c:f>'Kapitalkrav - Basel III'!$J$14:$M$14</c:f>
              <c:numCache>
                <c:formatCode>[$-414]mmm/\ yy;@</c:formatCode>
                <c:ptCount val="4"/>
                <c:pt idx="0">
                  <c:v>41821</c:v>
                </c:pt>
                <c:pt idx="1">
                  <c:v>42005</c:v>
                </c:pt>
                <c:pt idx="2">
                  <c:v>42186</c:v>
                </c:pt>
                <c:pt idx="3">
                  <c:v>42552</c:v>
                </c:pt>
              </c:numCache>
            </c:numRef>
          </c:cat>
          <c:val>
            <c:numRef>
              <c:f>'Kapitalkrav - Basel III'!$I$24:$L$24</c:f>
              <c:numCache>
                <c:formatCode>0%</c:formatCode>
                <c:ptCount val="4"/>
                <c:pt idx="0">
                  <c:v>0.03</c:v>
                </c:pt>
                <c:pt idx="1">
                  <c:v>0.03</c:v>
                </c:pt>
                <c:pt idx="2">
                  <c:v>0.03</c:v>
                </c:pt>
                <c:pt idx="3">
                  <c:v>0.03</c:v>
                </c:pt>
              </c:numCache>
            </c:numRef>
          </c:val>
        </c:ser>
        <c:ser>
          <c:idx val="4"/>
          <c:order val="3"/>
          <c:tx>
            <c:strRef>
              <c:f>'Kapitalkrav - Basel III'!$G$26</c:f>
              <c:strCache>
                <c:ptCount val="1"/>
                <c:pt idx="0">
                  <c:v>Motsyklisk buffer</c:v>
                </c:pt>
              </c:strCache>
            </c:strRef>
          </c:tx>
          <c:spPr>
            <a:solidFill>
              <a:srgbClr val="FF0000"/>
            </a:solidFill>
          </c:spPr>
          <c:invertIfNegative val="0"/>
          <c:dLbls>
            <c:dLbl>
              <c:idx val="3"/>
              <c:showLegendKey val="0"/>
              <c:showVal val="1"/>
              <c:showCatName val="0"/>
              <c:showSerName val="0"/>
              <c:showPercent val="0"/>
              <c:showBubbleSize val="0"/>
            </c:dLbl>
            <c:dLbl>
              <c:idx val="4"/>
              <c:showLegendKey val="0"/>
              <c:showVal val="1"/>
              <c:showCatName val="0"/>
              <c:showSerName val="0"/>
              <c:showPercent val="0"/>
              <c:showBubbleSize val="0"/>
            </c:dLbl>
            <c:numFmt formatCode="0.0\ %" sourceLinked="0"/>
            <c:showLegendKey val="0"/>
            <c:showVal val="0"/>
            <c:showCatName val="0"/>
            <c:showSerName val="0"/>
            <c:showPercent val="0"/>
            <c:showBubbleSize val="0"/>
          </c:dLbls>
          <c:cat>
            <c:numRef>
              <c:f>'Kapitalkrav - Basel III'!$J$14:$M$14</c:f>
              <c:numCache>
                <c:formatCode>[$-414]mmm/\ yy;@</c:formatCode>
                <c:ptCount val="4"/>
                <c:pt idx="0">
                  <c:v>41821</c:v>
                </c:pt>
                <c:pt idx="1">
                  <c:v>42005</c:v>
                </c:pt>
                <c:pt idx="2">
                  <c:v>42186</c:v>
                </c:pt>
                <c:pt idx="3">
                  <c:v>42552</c:v>
                </c:pt>
              </c:numCache>
            </c:numRef>
          </c:cat>
          <c:val>
            <c:numRef>
              <c:f>'Kapitalkrav - Basel III'!$I$26:$L$26</c:f>
              <c:numCache>
                <c:formatCode>0.00%</c:formatCode>
                <c:ptCount val="4"/>
                <c:pt idx="0" formatCode="General">
                  <c:v>0</c:v>
                </c:pt>
                <c:pt idx="1">
                  <c:v>0.01</c:v>
                </c:pt>
                <c:pt idx="2">
                  <c:v>0.01</c:v>
                </c:pt>
                <c:pt idx="3">
                  <c:v>0.01</c:v>
                </c:pt>
              </c:numCache>
            </c:numRef>
          </c:val>
        </c:ser>
        <c:ser>
          <c:idx val="5"/>
          <c:order val="4"/>
          <c:tx>
            <c:strRef>
              <c:f>'Kapitalkrav - Basel III'!$G$30</c:f>
              <c:strCache>
                <c:ptCount val="1"/>
                <c:pt idx="0">
                  <c:v>Hybridkapital</c:v>
                </c:pt>
              </c:strCache>
            </c:strRef>
          </c:tx>
          <c:spPr>
            <a:solidFill>
              <a:srgbClr val="FFC000"/>
            </a:solidFill>
          </c:spPr>
          <c:invertIfNegative val="0"/>
          <c:dLbls>
            <c:dLbl>
              <c:idx val="1"/>
              <c:delete val="1"/>
            </c:dLbl>
            <c:dLbl>
              <c:idx val="2"/>
              <c:delete val="1"/>
            </c:dLbl>
            <c:numFmt formatCode="0.0\ %" sourceLinked="0"/>
            <c:showLegendKey val="0"/>
            <c:showVal val="1"/>
            <c:showCatName val="0"/>
            <c:showSerName val="0"/>
            <c:showPercent val="0"/>
            <c:showBubbleSize val="0"/>
            <c:showLeaderLines val="0"/>
          </c:dLbls>
          <c:cat>
            <c:numRef>
              <c:f>'Kapitalkrav - Basel III'!$J$14:$M$14</c:f>
              <c:numCache>
                <c:formatCode>[$-414]mmm/\ yy;@</c:formatCode>
                <c:ptCount val="4"/>
                <c:pt idx="0">
                  <c:v>41821</c:v>
                </c:pt>
                <c:pt idx="1">
                  <c:v>42005</c:v>
                </c:pt>
                <c:pt idx="2">
                  <c:v>42186</c:v>
                </c:pt>
                <c:pt idx="3">
                  <c:v>42552</c:v>
                </c:pt>
              </c:numCache>
            </c:numRef>
          </c:cat>
          <c:val>
            <c:numRef>
              <c:f>'Kapitalkrav - Basel III'!$I$30:$L$30</c:f>
              <c:numCache>
                <c:formatCode>0.00%</c:formatCode>
                <c:ptCount val="4"/>
                <c:pt idx="0">
                  <c:v>1.4999999999999999E-2</c:v>
                </c:pt>
                <c:pt idx="1">
                  <c:v>1.4999999999999999E-2</c:v>
                </c:pt>
                <c:pt idx="2">
                  <c:v>1.4999999999999999E-2</c:v>
                </c:pt>
                <c:pt idx="3">
                  <c:v>1.4999999999999999E-2</c:v>
                </c:pt>
              </c:numCache>
            </c:numRef>
          </c:val>
        </c:ser>
        <c:ser>
          <c:idx val="6"/>
          <c:order val="5"/>
          <c:tx>
            <c:strRef>
              <c:f>'Kapitalkrav - Basel III'!$G$31</c:f>
              <c:strCache>
                <c:ptCount val="1"/>
                <c:pt idx="0">
                  <c:v>Tilleggskapital</c:v>
                </c:pt>
              </c:strCache>
            </c:strRef>
          </c:tx>
          <c:spPr>
            <a:solidFill>
              <a:srgbClr val="00B0F0"/>
            </a:solidFill>
          </c:spPr>
          <c:invertIfNegative val="0"/>
          <c:dLbls>
            <c:dLbl>
              <c:idx val="1"/>
              <c:delete val="1"/>
            </c:dLbl>
            <c:dLbl>
              <c:idx val="2"/>
              <c:delete val="1"/>
            </c:dLbl>
            <c:numFmt formatCode="0.0\ %" sourceLinked="0"/>
            <c:showLegendKey val="0"/>
            <c:showVal val="1"/>
            <c:showCatName val="0"/>
            <c:showSerName val="0"/>
            <c:showPercent val="0"/>
            <c:showBubbleSize val="0"/>
            <c:showLeaderLines val="0"/>
          </c:dLbls>
          <c:cat>
            <c:numRef>
              <c:f>'Kapitalkrav - Basel III'!$J$14:$M$14</c:f>
              <c:numCache>
                <c:formatCode>[$-414]mmm/\ yy;@</c:formatCode>
                <c:ptCount val="4"/>
                <c:pt idx="0">
                  <c:v>41821</c:v>
                </c:pt>
                <c:pt idx="1">
                  <c:v>42005</c:v>
                </c:pt>
                <c:pt idx="2">
                  <c:v>42186</c:v>
                </c:pt>
                <c:pt idx="3">
                  <c:v>42552</c:v>
                </c:pt>
              </c:numCache>
            </c:numRef>
          </c:cat>
          <c:val>
            <c:numRef>
              <c:f>'Kapitalkrav - Basel III'!$I$31:$L$31</c:f>
              <c:numCache>
                <c:formatCode>0%</c:formatCode>
                <c:ptCount val="4"/>
                <c:pt idx="0">
                  <c:v>0.02</c:v>
                </c:pt>
                <c:pt idx="1">
                  <c:v>0.02</c:v>
                </c:pt>
                <c:pt idx="2">
                  <c:v>0.02</c:v>
                </c:pt>
                <c:pt idx="3">
                  <c:v>0.02</c:v>
                </c:pt>
              </c:numCache>
            </c:numRef>
          </c:val>
        </c:ser>
        <c:dLbls>
          <c:showLegendKey val="0"/>
          <c:showVal val="1"/>
          <c:showCatName val="0"/>
          <c:showSerName val="0"/>
          <c:showPercent val="0"/>
          <c:showBubbleSize val="0"/>
        </c:dLbls>
        <c:gapWidth val="75"/>
        <c:overlap val="100"/>
        <c:axId val="252514688"/>
        <c:axId val="252516224"/>
      </c:barChart>
      <c:catAx>
        <c:axId val="252514688"/>
        <c:scaling>
          <c:orientation val="minMax"/>
        </c:scaling>
        <c:delete val="0"/>
        <c:axPos val="b"/>
        <c:numFmt formatCode="[$-414]mmm/\ yy;@" sourceLinked="1"/>
        <c:majorTickMark val="none"/>
        <c:minorTickMark val="none"/>
        <c:tickLblPos val="nextTo"/>
        <c:crossAx val="252516224"/>
        <c:crosses val="autoZero"/>
        <c:auto val="0"/>
        <c:lblAlgn val="ctr"/>
        <c:lblOffset val="100"/>
        <c:noMultiLvlLbl val="0"/>
      </c:catAx>
      <c:valAx>
        <c:axId val="252516224"/>
        <c:scaling>
          <c:orientation val="minMax"/>
        </c:scaling>
        <c:delete val="0"/>
        <c:axPos val="l"/>
        <c:numFmt formatCode="0.0\ %" sourceLinked="0"/>
        <c:majorTickMark val="none"/>
        <c:minorTickMark val="none"/>
        <c:tickLblPos val="nextTo"/>
        <c:crossAx val="252514688"/>
        <c:crosses val="autoZero"/>
        <c:crossBetween val="between"/>
      </c:valAx>
      <c:spPr>
        <a:noFill/>
        <a:ln w="25400">
          <a:noFill/>
        </a:ln>
      </c:spPr>
    </c:plotArea>
    <c:legend>
      <c:legendPos val="b"/>
      <c:layout>
        <c:manualLayout>
          <c:xMode val="edge"/>
          <c:yMode val="edge"/>
          <c:x val="0"/>
          <c:y val="0.83015667094476631"/>
          <c:w val="0.99708048993875731"/>
          <c:h val="0.15222218368078441"/>
        </c:manualLayout>
      </c:layout>
      <c:overlay val="0"/>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B0F0"/>
              </a:solidFill>
            </c:spPr>
          </c:dPt>
          <c:dPt>
            <c:idx val="2"/>
            <c:bubble3D val="0"/>
            <c:spPr>
              <a:solidFill>
                <a:srgbClr val="FFFF00"/>
              </a:solidFill>
            </c:spPr>
          </c:dPt>
          <c:dPt>
            <c:idx val="3"/>
            <c:bubble3D val="0"/>
            <c:spPr>
              <a:solidFill>
                <a:srgbClr val="FFC000"/>
              </a:solidFill>
            </c:spPr>
          </c:dPt>
          <c:cat>
            <c:strRef>
              <c:f>'ICAAP 2013'!$A$1:$A$5</c:f>
              <c:strCache>
                <c:ptCount val="5"/>
                <c:pt idx="0">
                  <c:v>Kredittrisiko</c:v>
                </c:pt>
                <c:pt idx="1">
                  <c:v>Markedsrisiko</c:v>
                </c:pt>
                <c:pt idx="2">
                  <c:v>Operasjonell risiko</c:v>
                </c:pt>
                <c:pt idx="3">
                  <c:v>Likviditetsrisiko</c:v>
                </c:pt>
                <c:pt idx="4">
                  <c:v>Andre risikoer</c:v>
                </c:pt>
              </c:strCache>
            </c:strRef>
          </c:cat>
          <c:val>
            <c:numRef>
              <c:f>'ICAAP 2013'!$B$1:$B$5</c:f>
              <c:numCache>
                <c:formatCode>#,##0</c:formatCode>
                <c:ptCount val="5"/>
                <c:pt idx="0">
                  <c:v>1489389.4277230096</c:v>
                </c:pt>
                <c:pt idx="1">
                  <c:v>58629.083815159996</c:v>
                </c:pt>
                <c:pt idx="2">
                  <c:v>71505.368399999992</c:v>
                </c:pt>
                <c:pt idx="3">
                  <c:v>96982.53216276491</c:v>
                </c:pt>
                <c:pt idx="4">
                  <c:v>3778.8735000000001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D5F103-BC48-4D43-9373-4E12A5F4B7CA}" type="doc">
      <dgm:prSet loTypeId="urn:microsoft.com/office/officeart/2005/8/layout/radial6" loCatId="cycle" qsTypeId="urn:microsoft.com/office/officeart/2005/8/quickstyle/3d9" qsCatId="3D" csTypeId="urn:microsoft.com/office/officeart/2005/8/colors/colorful1#1" csCatId="colorful" phldr="1"/>
      <dgm:spPr/>
      <dgm:t>
        <a:bodyPr/>
        <a:lstStyle/>
        <a:p>
          <a:endParaRPr lang="nb-NO"/>
        </a:p>
      </dgm:t>
    </dgm:pt>
    <dgm:pt modelId="{BE099300-633B-4C62-B229-AE2FC3234876}">
      <dgm:prSet phldrT="[Tekst]"/>
      <dgm:spPr>
        <a:solidFill>
          <a:srgbClr val="AEAE96"/>
        </a:solidFill>
      </dgm:spPr>
      <dgm:t>
        <a:bodyPr/>
        <a:lstStyle/>
        <a:p>
          <a:r>
            <a:rPr lang="nb-NO" dirty="0" smtClean="0"/>
            <a:t>Kapital</a:t>
          </a:r>
        </a:p>
        <a:p>
          <a:r>
            <a:rPr lang="nb-NO" dirty="0" smtClean="0"/>
            <a:t>plan</a:t>
          </a:r>
          <a:endParaRPr lang="nb-NO" dirty="0"/>
        </a:p>
      </dgm:t>
    </dgm:pt>
    <dgm:pt modelId="{3EE58E35-C9C9-4D02-A0FD-A170A0D62609}" type="parTrans" cxnId="{2AB8809A-4E5C-4423-A589-E17740A1A0C2}">
      <dgm:prSet/>
      <dgm:spPr/>
      <dgm:t>
        <a:bodyPr/>
        <a:lstStyle/>
        <a:p>
          <a:endParaRPr lang="nb-NO"/>
        </a:p>
      </dgm:t>
    </dgm:pt>
    <dgm:pt modelId="{7F9466B6-777B-4FD2-A4C1-86B56F1A1611}" type="sibTrans" cxnId="{2AB8809A-4E5C-4423-A589-E17740A1A0C2}">
      <dgm:prSet/>
      <dgm:spPr/>
      <dgm:t>
        <a:bodyPr/>
        <a:lstStyle/>
        <a:p>
          <a:endParaRPr lang="nb-NO"/>
        </a:p>
      </dgm:t>
    </dgm:pt>
    <dgm:pt modelId="{980D4031-5B56-4B30-8948-80FA3062FABF}">
      <dgm:prSet phldrT="[Tekst]"/>
      <dgm:spPr>
        <a:solidFill>
          <a:srgbClr val="FFC000"/>
        </a:solidFill>
      </dgm:spPr>
      <dgm:t>
        <a:bodyPr/>
        <a:lstStyle/>
        <a:p>
          <a:r>
            <a:rPr lang="nb-NO" dirty="0" smtClean="0"/>
            <a:t>ICAAP</a:t>
          </a:r>
          <a:endParaRPr lang="nb-NO" dirty="0"/>
        </a:p>
      </dgm:t>
    </dgm:pt>
    <dgm:pt modelId="{E910A2AE-0695-4CC7-84D9-33DB3DB8F069}" type="parTrans" cxnId="{F0B6D7FA-CAEA-4F50-B5FA-FF978BFC1254}">
      <dgm:prSet/>
      <dgm:spPr/>
      <dgm:t>
        <a:bodyPr/>
        <a:lstStyle/>
        <a:p>
          <a:endParaRPr lang="nb-NO"/>
        </a:p>
      </dgm:t>
    </dgm:pt>
    <dgm:pt modelId="{1AE7EFA7-0694-425F-97F2-E0C2A17636CE}" type="sibTrans" cxnId="{F0B6D7FA-CAEA-4F50-B5FA-FF978BFC1254}">
      <dgm:prSet/>
      <dgm:spPr>
        <a:solidFill>
          <a:srgbClr val="545446"/>
        </a:solidFill>
      </dgm:spPr>
      <dgm:t>
        <a:bodyPr/>
        <a:lstStyle/>
        <a:p>
          <a:endParaRPr lang="nb-NO"/>
        </a:p>
      </dgm:t>
    </dgm:pt>
    <dgm:pt modelId="{29CF4491-FE1F-4C64-8DE0-9D06421C150C}">
      <dgm:prSet phldrT="[Tekst]"/>
      <dgm:spPr>
        <a:solidFill>
          <a:srgbClr val="C47500"/>
        </a:solidFill>
      </dgm:spPr>
      <dgm:t>
        <a:bodyPr/>
        <a:lstStyle/>
        <a:p>
          <a:r>
            <a:rPr lang="nb-NO" dirty="0" err="1" smtClean="0"/>
            <a:t>Progn-oser</a:t>
          </a:r>
          <a:endParaRPr lang="nb-NO" dirty="0"/>
        </a:p>
      </dgm:t>
    </dgm:pt>
    <dgm:pt modelId="{3DD2B8EB-21BA-4AFD-8AC4-08503103786D}" type="parTrans" cxnId="{B3CB0FF1-FEF5-4CD6-9FF9-69FE7F483470}">
      <dgm:prSet/>
      <dgm:spPr/>
      <dgm:t>
        <a:bodyPr/>
        <a:lstStyle/>
        <a:p>
          <a:endParaRPr lang="nb-NO"/>
        </a:p>
      </dgm:t>
    </dgm:pt>
    <dgm:pt modelId="{618C84CD-FA85-44D3-80BC-060194129DD3}" type="sibTrans" cxnId="{B3CB0FF1-FEF5-4CD6-9FF9-69FE7F483470}">
      <dgm:prSet/>
      <dgm:spPr>
        <a:solidFill>
          <a:srgbClr val="7F7F69"/>
        </a:solidFill>
      </dgm:spPr>
      <dgm:t>
        <a:bodyPr/>
        <a:lstStyle/>
        <a:p>
          <a:endParaRPr lang="nb-NO"/>
        </a:p>
      </dgm:t>
    </dgm:pt>
    <dgm:pt modelId="{522E2537-5748-4CFA-BF8F-D152C4C3AF37}">
      <dgm:prSet phldrT="[Tekst]"/>
      <dgm:spPr>
        <a:solidFill>
          <a:srgbClr val="FF7E1D"/>
        </a:solidFill>
      </dgm:spPr>
      <dgm:t>
        <a:bodyPr/>
        <a:lstStyle/>
        <a:p>
          <a:r>
            <a:rPr lang="nb-NO" dirty="0" smtClean="0"/>
            <a:t>Fin. </a:t>
          </a:r>
        </a:p>
        <a:p>
          <a:r>
            <a:rPr lang="nb-NO" dirty="0" smtClean="0"/>
            <a:t>strategi</a:t>
          </a:r>
          <a:endParaRPr lang="nb-NO" dirty="0"/>
        </a:p>
      </dgm:t>
    </dgm:pt>
    <dgm:pt modelId="{4A24BA93-85A3-4AC1-A5B7-DD49BC6F7C66}" type="parTrans" cxnId="{B2C9CDDD-2469-4D46-8562-BF5DB70EA977}">
      <dgm:prSet/>
      <dgm:spPr/>
      <dgm:t>
        <a:bodyPr/>
        <a:lstStyle/>
        <a:p>
          <a:endParaRPr lang="nb-NO"/>
        </a:p>
      </dgm:t>
    </dgm:pt>
    <dgm:pt modelId="{44B5DDC3-5E45-4D5E-BF1A-8C0306D6BA82}" type="sibTrans" cxnId="{B2C9CDDD-2469-4D46-8562-BF5DB70EA977}">
      <dgm:prSet/>
      <dgm:spPr>
        <a:solidFill>
          <a:srgbClr val="C4BD97"/>
        </a:solidFill>
      </dgm:spPr>
      <dgm:t>
        <a:bodyPr/>
        <a:lstStyle/>
        <a:p>
          <a:endParaRPr lang="nb-NO"/>
        </a:p>
      </dgm:t>
    </dgm:pt>
    <dgm:pt modelId="{E67C042E-8594-4299-AF69-B534C2A6AF9F}">
      <dgm:prSet phldrT="[Tekst]"/>
      <dgm:spPr>
        <a:solidFill>
          <a:srgbClr val="D6A300"/>
        </a:solidFill>
      </dgm:spPr>
      <dgm:t>
        <a:bodyPr/>
        <a:lstStyle/>
        <a:p>
          <a:r>
            <a:rPr lang="nb-NO" dirty="0" smtClean="0"/>
            <a:t>Likvid.</a:t>
          </a:r>
        </a:p>
        <a:p>
          <a:r>
            <a:rPr lang="nb-NO" dirty="0" smtClean="0"/>
            <a:t>strategi</a:t>
          </a:r>
          <a:endParaRPr lang="nb-NO" dirty="0"/>
        </a:p>
      </dgm:t>
    </dgm:pt>
    <dgm:pt modelId="{D03D0337-EEA4-47EA-87E6-6C248FF418D8}" type="parTrans" cxnId="{E61E1819-5F9B-4254-9FBA-372D90E9A332}">
      <dgm:prSet/>
      <dgm:spPr/>
      <dgm:t>
        <a:bodyPr/>
        <a:lstStyle/>
        <a:p>
          <a:endParaRPr lang="nb-NO"/>
        </a:p>
      </dgm:t>
    </dgm:pt>
    <dgm:pt modelId="{9C3E9696-2B73-4A4B-A7F3-C6C4BF285DA0}" type="sibTrans" cxnId="{E61E1819-5F9B-4254-9FBA-372D90E9A332}">
      <dgm:prSet/>
      <dgm:spPr>
        <a:solidFill>
          <a:srgbClr val="AEAE96"/>
        </a:solidFill>
      </dgm:spPr>
      <dgm:t>
        <a:bodyPr/>
        <a:lstStyle/>
        <a:p>
          <a:endParaRPr lang="nb-NO"/>
        </a:p>
      </dgm:t>
    </dgm:pt>
    <dgm:pt modelId="{0AB2C9E2-2EDF-42FF-8CC2-A8DA1CA6ED92}">
      <dgm:prSet phldrT="[Tekst]"/>
      <dgm:spPr>
        <a:solidFill>
          <a:srgbClr val="FFDA65"/>
        </a:solidFill>
      </dgm:spPr>
      <dgm:t>
        <a:bodyPr/>
        <a:lstStyle/>
        <a:p>
          <a:r>
            <a:rPr lang="nb-NO" dirty="0" smtClean="0"/>
            <a:t>Kreditt strategi</a:t>
          </a:r>
          <a:endParaRPr lang="nb-NO" dirty="0"/>
        </a:p>
      </dgm:t>
    </dgm:pt>
    <dgm:pt modelId="{771D54BB-F575-4F93-AEA8-BC5B27CDDDF1}" type="parTrans" cxnId="{5EDE3154-5E63-4700-A240-A05113D14241}">
      <dgm:prSet/>
      <dgm:spPr/>
      <dgm:t>
        <a:bodyPr/>
        <a:lstStyle/>
        <a:p>
          <a:endParaRPr lang="nb-NO"/>
        </a:p>
      </dgm:t>
    </dgm:pt>
    <dgm:pt modelId="{7450CE19-9D0D-404D-A9B9-2EB24A460713}" type="sibTrans" cxnId="{5EDE3154-5E63-4700-A240-A05113D14241}">
      <dgm:prSet/>
      <dgm:spPr>
        <a:solidFill>
          <a:srgbClr val="262614"/>
        </a:solidFill>
      </dgm:spPr>
      <dgm:t>
        <a:bodyPr/>
        <a:lstStyle/>
        <a:p>
          <a:endParaRPr lang="nb-NO"/>
        </a:p>
      </dgm:t>
    </dgm:pt>
    <dgm:pt modelId="{BA4C0C48-D219-463B-B909-A6B639C75C56}">
      <dgm:prSet phldrT="[Tekst]"/>
      <dgm:spPr/>
      <dgm:t>
        <a:bodyPr/>
        <a:lstStyle/>
        <a:p>
          <a:endParaRPr lang="nb-NO" dirty="0"/>
        </a:p>
      </dgm:t>
    </dgm:pt>
    <dgm:pt modelId="{08448496-BAA5-478B-95E9-07FC15540179}" type="parTrans" cxnId="{A3CD6E27-F84A-4D80-9C1B-DC82EE09CDC2}">
      <dgm:prSet/>
      <dgm:spPr/>
      <dgm:t>
        <a:bodyPr/>
        <a:lstStyle/>
        <a:p>
          <a:endParaRPr lang="nb-NO"/>
        </a:p>
      </dgm:t>
    </dgm:pt>
    <dgm:pt modelId="{84A43692-0D02-4F09-915A-2E4863C33561}" type="sibTrans" cxnId="{A3CD6E27-F84A-4D80-9C1B-DC82EE09CDC2}">
      <dgm:prSet/>
      <dgm:spPr/>
      <dgm:t>
        <a:bodyPr/>
        <a:lstStyle/>
        <a:p>
          <a:endParaRPr lang="nb-NO"/>
        </a:p>
      </dgm:t>
    </dgm:pt>
    <dgm:pt modelId="{AEFFE124-DE64-4885-8202-16167C09E6BF}" type="pres">
      <dgm:prSet presAssocID="{42D5F103-BC48-4D43-9373-4E12A5F4B7CA}" presName="Name0" presStyleCnt="0">
        <dgm:presLayoutVars>
          <dgm:chMax val="1"/>
          <dgm:dir/>
          <dgm:animLvl val="ctr"/>
          <dgm:resizeHandles val="exact"/>
        </dgm:presLayoutVars>
      </dgm:prSet>
      <dgm:spPr/>
      <dgm:t>
        <a:bodyPr/>
        <a:lstStyle/>
        <a:p>
          <a:endParaRPr lang="nb-NO"/>
        </a:p>
      </dgm:t>
    </dgm:pt>
    <dgm:pt modelId="{ADD75DEA-B0B1-4D81-9109-36C62866EF9B}" type="pres">
      <dgm:prSet presAssocID="{BE099300-633B-4C62-B229-AE2FC3234876}" presName="centerShape" presStyleLbl="node0" presStyleIdx="0" presStyleCnt="1"/>
      <dgm:spPr/>
      <dgm:t>
        <a:bodyPr/>
        <a:lstStyle/>
        <a:p>
          <a:endParaRPr lang="nb-NO"/>
        </a:p>
      </dgm:t>
    </dgm:pt>
    <dgm:pt modelId="{B579EF4A-4ADD-439D-A9E7-6570AFC0583C}" type="pres">
      <dgm:prSet presAssocID="{980D4031-5B56-4B30-8948-80FA3062FABF}" presName="node" presStyleLbl="node1" presStyleIdx="0" presStyleCnt="5">
        <dgm:presLayoutVars>
          <dgm:bulletEnabled val="1"/>
        </dgm:presLayoutVars>
      </dgm:prSet>
      <dgm:spPr/>
      <dgm:t>
        <a:bodyPr/>
        <a:lstStyle/>
        <a:p>
          <a:endParaRPr lang="nb-NO"/>
        </a:p>
      </dgm:t>
    </dgm:pt>
    <dgm:pt modelId="{D737862F-C737-4337-A004-331DD1802504}" type="pres">
      <dgm:prSet presAssocID="{980D4031-5B56-4B30-8948-80FA3062FABF}" presName="dummy" presStyleCnt="0"/>
      <dgm:spPr/>
    </dgm:pt>
    <dgm:pt modelId="{B62C08DB-D401-4830-8310-21B029181C96}" type="pres">
      <dgm:prSet presAssocID="{1AE7EFA7-0694-425F-97F2-E0C2A17636CE}" presName="sibTrans" presStyleLbl="sibTrans2D1" presStyleIdx="0" presStyleCnt="5"/>
      <dgm:spPr/>
      <dgm:t>
        <a:bodyPr/>
        <a:lstStyle/>
        <a:p>
          <a:endParaRPr lang="nb-NO"/>
        </a:p>
      </dgm:t>
    </dgm:pt>
    <dgm:pt modelId="{ED0CE515-F1FD-421A-AC07-6293317F81DF}" type="pres">
      <dgm:prSet presAssocID="{29CF4491-FE1F-4C64-8DE0-9D06421C150C}" presName="node" presStyleLbl="node1" presStyleIdx="1" presStyleCnt="5">
        <dgm:presLayoutVars>
          <dgm:bulletEnabled val="1"/>
        </dgm:presLayoutVars>
      </dgm:prSet>
      <dgm:spPr/>
      <dgm:t>
        <a:bodyPr/>
        <a:lstStyle/>
        <a:p>
          <a:endParaRPr lang="nb-NO"/>
        </a:p>
      </dgm:t>
    </dgm:pt>
    <dgm:pt modelId="{AA918AE2-3DC4-4C6C-9FE8-FF027DCB2926}" type="pres">
      <dgm:prSet presAssocID="{29CF4491-FE1F-4C64-8DE0-9D06421C150C}" presName="dummy" presStyleCnt="0"/>
      <dgm:spPr/>
    </dgm:pt>
    <dgm:pt modelId="{EE06F4D2-9DDC-488B-BE0A-AF7521821BDD}" type="pres">
      <dgm:prSet presAssocID="{618C84CD-FA85-44D3-80BC-060194129DD3}" presName="sibTrans" presStyleLbl="sibTrans2D1" presStyleIdx="1" presStyleCnt="5"/>
      <dgm:spPr/>
      <dgm:t>
        <a:bodyPr/>
        <a:lstStyle/>
        <a:p>
          <a:endParaRPr lang="nb-NO"/>
        </a:p>
      </dgm:t>
    </dgm:pt>
    <dgm:pt modelId="{D11EFD66-CCC3-48AE-9B52-C7F736CBBD74}" type="pres">
      <dgm:prSet presAssocID="{522E2537-5748-4CFA-BF8F-D152C4C3AF37}" presName="node" presStyleLbl="node1" presStyleIdx="2" presStyleCnt="5">
        <dgm:presLayoutVars>
          <dgm:bulletEnabled val="1"/>
        </dgm:presLayoutVars>
      </dgm:prSet>
      <dgm:spPr/>
      <dgm:t>
        <a:bodyPr/>
        <a:lstStyle/>
        <a:p>
          <a:endParaRPr lang="nb-NO"/>
        </a:p>
      </dgm:t>
    </dgm:pt>
    <dgm:pt modelId="{32D585CF-1924-40A7-94A9-CF18CFC7486D}" type="pres">
      <dgm:prSet presAssocID="{522E2537-5748-4CFA-BF8F-D152C4C3AF37}" presName="dummy" presStyleCnt="0"/>
      <dgm:spPr/>
    </dgm:pt>
    <dgm:pt modelId="{8500335E-345D-493E-9748-9CAAD9D17D35}" type="pres">
      <dgm:prSet presAssocID="{44B5DDC3-5E45-4D5E-BF1A-8C0306D6BA82}" presName="sibTrans" presStyleLbl="sibTrans2D1" presStyleIdx="2" presStyleCnt="5"/>
      <dgm:spPr/>
      <dgm:t>
        <a:bodyPr/>
        <a:lstStyle/>
        <a:p>
          <a:endParaRPr lang="nb-NO"/>
        </a:p>
      </dgm:t>
    </dgm:pt>
    <dgm:pt modelId="{64B8A021-EDA3-4ACA-8A71-BA2883530A1A}" type="pres">
      <dgm:prSet presAssocID="{E67C042E-8594-4299-AF69-B534C2A6AF9F}" presName="node" presStyleLbl="node1" presStyleIdx="3" presStyleCnt="5">
        <dgm:presLayoutVars>
          <dgm:bulletEnabled val="1"/>
        </dgm:presLayoutVars>
      </dgm:prSet>
      <dgm:spPr/>
      <dgm:t>
        <a:bodyPr/>
        <a:lstStyle/>
        <a:p>
          <a:endParaRPr lang="nb-NO"/>
        </a:p>
      </dgm:t>
    </dgm:pt>
    <dgm:pt modelId="{FF2E4A10-07E5-4EC3-8296-FC0A8FC864B1}" type="pres">
      <dgm:prSet presAssocID="{E67C042E-8594-4299-AF69-B534C2A6AF9F}" presName="dummy" presStyleCnt="0"/>
      <dgm:spPr/>
    </dgm:pt>
    <dgm:pt modelId="{DE0124E4-DB35-4FB3-961D-A02EF5338CC0}" type="pres">
      <dgm:prSet presAssocID="{9C3E9696-2B73-4A4B-A7F3-C6C4BF285DA0}" presName="sibTrans" presStyleLbl="sibTrans2D1" presStyleIdx="3" presStyleCnt="5"/>
      <dgm:spPr/>
      <dgm:t>
        <a:bodyPr/>
        <a:lstStyle/>
        <a:p>
          <a:endParaRPr lang="nb-NO"/>
        </a:p>
      </dgm:t>
    </dgm:pt>
    <dgm:pt modelId="{3A29390F-52CB-4FB0-A746-D806029F64C9}" type="pres">
      <dgm:prSet presAssocID="{0AB2C9E2-2EDF-42FF-8CC2-A8DA1CA6ED92}" presName="node" presStyleLbl="node1" presStyleIdx="4" presStyleCnt="5">
        <dgm:presLayoutVars>
          <dgm:bulletEnabled val="1"/>
        </dgm:presLayoutVars>
      </dgm:prSet>
      <dgm:spPr/>
      <dgm:t>
        <a:bodyPr/>
        <a:lstStyle/>
        <a:p>
          <a:endParaRPr lang="nb-NO"/>
        </a:p>
      </dgm:t>
    </dgm:pt>
    <dgm:pt modelId="{6F6493D2-F45B-433F-9FC4-0216538FF604}" type="pres">
      <dgm:prSet presAssocID="{0AB2C9E2-2EDF-42FF-8CC2-A8DA1CA6ED92}" presName="dummy" presStyleCnt="0"/>
      <dgm:spPr/>
    </dgm:pt>
    <dgm:pt modelId="{ECE14BAD-8155-4AB7-A801-C98499538690}" type="pres">
      <dgm:prSet presAssocID="{7450CE19-9D0D-404D-A9B9-2EB24A460713}" presName="sibTrans" presStyleLbl="sibTrans2D1" presStyleIdx="4" presStyleCnt="5"/>
      <dgm:spPr/>
      <dgm:t>
        <a:bodyPr/>
        <a:lstStyle/>
        <a:p>
          <a:endParaRPr lang="nb-NO"/>
        </a:p>
      </dgm:t>
    </dgm:pt>
  </dgm:ptLst>
  <dgm:cxnLst>
    <dgm:cxn modelId="{EEC230EE-CB28-4521-9DAA-259896C80F28}" type="presOf" srcId="{42D5F103-BC48-4D43-9373-4E12A5F4B7CA}" destId="{AEFFE124-DE64-4885-8202-16167C09E6BF}" srcOrd="0" destOrd="0" presId="urn:microsoft.com/office/officeart/2005/8/layout/radial6"/>
    <dgm:cxn modelId="{F0B6D7FA-CAEA-4F50-B5FA-FF978BFC1254}" srcId="{BE099300-633B-4C62-B229-AE2FC3234876}" destId="{980D4031-5B56-4B30-8948-80FA3062FABF}" srcOrd="0" destOrd="0" parTransId="{E910A2AE-0695-4CC7-84D9-33DB3DB8F069}" sibTransId="{1AE7EFA7-0694-425F-97F2-E0C2A17636CE}"/>
    <dgm:cxn modelId="{B2C9CDDD-2469-4D46-8562-BF5DB70EA977}" srcId="{BE099300-633B-4C62-B229-AE2FC3234876}" destId="{522E2537-5748-4CFA-BF8F-D152C4C3AF37}" srcOrd="2" destOrd="0" parTransId="{4A24BA93-85A3-4AC1-A5B7-DD49BC6F7C66}" sibTransId="{44B5DDC3-5E45-4D5E-BF1A-8C0306D6BA82}"/>
    <dgm:cxn modelId="{0E6380EF-F902-4A7A-BEF5-6596F959A5B2}" type="presOf" srcId="{9C3E9696-2B73-4A4B-A7F3-C6C4BF285DA0}" destId="{DE0124E4-DB35-4FB3-961D-A02EF5338CC0}" srcOrd="0" destOrd="0" presId="urn:microsoft.com/office/officeart/2005/8/layout/radial6"/>
    <dgm:cxn modelId="{6CA00D2C-0C44-4E34-B1ED-F22A41ABAF7A}" type="presOf" srcId="{7450CE19-9D0D-404D-A9B9-2EB24A460713}" destId="{ECE14BAD-8155-4AB7-A801-C98499538690}" srcOrd="0" destOrd="0" presId="urn:microsoft.com/office/officeart/2005/8/layout/radial6"/>
    <dgm:cxn modelId="{EC069ED5-9A48-484D-A423-2228BC5780E4}" type="presOf" srcId="{E67C042E-8594-4299-AF69-B534C2A6AF9F}" destId="{64B8A021-EDA3-4ACA-8A71-BA2883530A1A}" srcOrd="0" destOrd="0" presId="urn:microsoft.com/office/officeart/2005/8/layout/radial6"/>
    <dgm:cxn modelId="{8571F223-6295-4F78-B4CC-C5355087E261}" type="presOf" srcId="{0AB2C9E2-2EDF-42FF-8CC2-A8DA1CA6ED92}" destId="{3A29390F-52CB-4FB0-A746-D806029F64C9}" srcOrd="0" destOrd="0" presId="urn:microsoft.com/office/officeart/2005/8/layout/radial6"/>
    <dgm:cxn modelId="{F62100DA-47CD-44AA-B979-9A0D3B244BA2}" type="presOf" srcId="{29CF4491-FE1F-4C64-8DE0-9D06421C150C}" destId="{ED0CE515-F1FD-421A-AC07-6293317F81DF}" srcOrd="0" destOrd="0" presId="urn:microsoft.com/office/officeart/2005/8/layout/radial6"/>
    <dgm:cxn modelId="{E61E1819-5F9B-4254-9FBA-372D90E9A332}" srcId="{BE099300-633B-4C62-B229-AE2FC3234876}" destId="{E67C042E-8594-4299-AF69-B534C2A6AF9F}" srcOrd="3" destOrd="0" parTransId="{D03D0337-EEA4-47EA-87E6-6C248FF418D8}" sibTransId="{9C3E9696-2B73-4A4B-A7F3-C6C4BF285DA0}"/>
    <dgm:cxn modelId="{B3CB0FF1-FEF5-4CD6-9FF9-69FE7F483470}" srcId="{BE099300-633B-4C62-B229-AE2FC3234876}" destId="{29CF4491-FE1F-4C64-8DE0-9D06421C150C}" srcOrd="1" destOrd="0" parTransId="{3DD2B8EB-21BA-4AFD-8AC4-08503103786D}" sibTransId="{618C84CD-FA85-44D3-80BC-060194129DD3}"/>
    <dgm:cxn modelId="{E33CE8AA-D7DD-4F7E-9E21-A7E37B5057A2}" type="presOf" srcId="{980D4031-5B56-4B30-8948-80FA3062FABF}" destId="{B579EF4A-4ADD-439D-A9E7-6570AFC0583C}" srcOrd="0" destOrd="0" presId="urn:microsoft.com/office/officeart/2005/8/layout/radial6"/>
    <dgm:cxn modelId="{A3CD6E27-F84A-4D80-9C1B-DC82EE09CDC2}" srcId="{42D5F103-BC48-4D43-9373-4E12A5F4B7CA}" destId="{BA4C0C48-D219-463B-B909-A6B639C75C56}" srcOrd="1" destOrd="0" parTransId="{08448496-BAA5-478B-95E9-07FC15540179}" sibTransId="{84A43692-0D02-4F09-915A-2E4863C33561}"/>
    <dgm:cxn modelId="{33F285F5-9F18-4E25-81D2-711147A2ACFC}" type="presOf" srcId="{44B5DDC3-5E45-4D5E-BF1A-8C0306D6BA82}" destId="{8500335E-345D-493E-9748-9CAAD9D17D35}" srcOrd="0" destOrd="0" presId="urn:microsoft.com/office/officeart/2005/8/layout/radial6"/>
    <dgm:cxn modelId="{3E31543D-AAFA-45D1-BFFC-B0BFA4E9FFA9}" type="presOf" srcId="{1AE7EFA7-0694-425F-97F2-E0C2A17636CE}" destId="{B62C08DB-D401-4830-8310-21B029181C96}" srcOrd="0" destOrd="0" presId="urn:microsoft.com/office/officeart/2005/8/layout/radial6"/>
    <dgm:cxn modelId="{FE95333E-E0D9-414B-8138-D637A1B6FCE9}" type="presOf" srcId="{522E2537-5748-4CFA-BF8F-D152C4C3AF37}" destId="{D11EFD66-CCC3-48AE-9B52-C7F736CBBD74}" srcOrd="0" destOrd="0" presId="urn:microsoft.com/office/officeart/2005/8/layout/radial6"/>
    <dgm:cxn modelId="{CFB46DC7-91FC-450A-9BCA-6B9E392D0C69}" type="presOf" srcId="{618C84CD-FA85-44D3-80BC-060194129DD3}" destId="{EE06F4D2-9DDC-488B-BE0A-AF7521821BDD}" srcOrd="0" destOrd="0" presId="urn:microsoft.com/office/officeart/2005/8/layout/radial6"/>
    <dgm:cxn modelId="{5EDE3154-5E63-4700-A240-A05113D14241}" srcId="{BE099300-633B-4C62-B229-AE2FC3234876}" destId="{0AB2C9E2-2EDF-42FF-8CC2-A8DA1CA6ED92}" srcOrd="4" destOrd="0" parTransId="{771D54BB-F575-4F93-AEA8-BC5B27CDDDF1}" sibTransId="{7450CE19-9D0D-404D-A9B9-2EB24A460713}"/>
    <dgm:cxn modelId="{2AB8809A-4E5C-4423-A589-E17740A1A0C2}" srcId="{42D5F103-BC48-4D43-9373-4E12A5F4B7CA}" destId="{BE099300-633B-4C62-B229-AE2FC3234876}" srcOrd="0" destOrd="0" parTransId="{3EE58E35-C9C9-4D02-A0FD-A170A0D62609}" sibTransId="{7F9466B6-777B-4FD2-A4C1-86B56F1A1611}"/>
    <dgm:cxn modelId="{CFD9866D-2AFA-409E-A64F-E01A60CE9E2D}" type="presOf" srcId="{BE099300-633B-4C62-B229-AE2FC3234876}" destId="{ADD75DEA-B0B1-4D81-9109-36C62866EF9B}" srcOrd="0" destOrd="0" presId="urn:microsoft.com/office/officeart/2005/8/layout/radial6"/>
    <dgm:cxn modelId="{8C816DAA-B183-4221-B111-D8B61B1C341B}" type="presParOf" srcId="{AEFFE124-DE64-4885-8202-16167C09E6BF}" destId="{ADD75DEA-B0B1-4D81-9109-36C62866EF9B}" srcOrd="0" destOrd="0" presId="urn:microsoft.com/office/officeart/2005/8/layout/radial6"/>
    <dgm:cxn modelId="{2A80DE05-92EE-48D9-AF8C-C10C0669D055}" type="presParOf" srcId="{AEFFE124-DE64-4885-8202-16167C09E6BF}" destId="{B579EF4A-4ADD-439D-A9E7-6570AFC0583C}" srcOrd="1" destOrd="0" presId="urn:microsoft.com/office/officeart/2005/8/layout/radial6"/>
    <dgm:cxn modelId="{A753C4D1-C237-43A1-BA4A-48205D694BD2}" type="presParOf" srcId="{AEFFE124-DE64-4885-8202-16167C09E6BF}" destId="{D737862F-C737-4337-A004-331DD1802504}" srcOrd="2" destOrd="0" presId="urn:microsoft.com/office/officeart/2005/8/layout/radial6"/>
    <dgm:cxn modelId="{3ABFC6AF-DEF6-41CB-A1FB-B92EC1D69E55}" type="presParOf" srcId="{AEFFE124-DE64-4885-8202-16167C09E6BF}" destId="{B62C08DB-D401-4830-8310-21B029181C96}" srcOrd="3" destOrd="0" presId="urn:microsoft.com/office/officeart/2005/8/layout/radial6"/>
    <dgm:cxn modelId="{E830E041-5721-41EB-8C22-78687D20B562}" type="presParOf" srcId="{AEFFE124-DE64-4885-8202-16167C09E6BF}" destId="{ED0CE515-F1FD-421A-AC07-6293317F81DF}" srcOrd="4" destOrd="0" presId="urn:microsoft.com/office/officeart/2005/8/layout/radial6"/>
    <dgm:cxn modelId="{6AF3FEB4-8AAA-45E2-998E-52C13CC3F167}" type="presParOf" srcId="{AEFFE124-DE64-4885-8202-16167C09E6BF}" destId="{AA918AE2-3DC4-4C6C-9FE8-FF027DCB2926}" srcOrd="5" destOrd="0" presId="urn:microsoft.com/office/officeart/2005/8/layout/radial6"/>
    <dgm:cxn modelId="{10ED2C11-D5B8-4D5B-897B-6560C05209EC}" type="presParOf" srcId="{AEFFE124-DE64-4885-8202-16167C09E6BF}" destId="{EE06F4D2-9DDC-488B-BE0A-AF7521821BDD}" srcOrd="6" destOrd="0" presId="urn:microsoft.com/office/officeart/2005/8/layout/radial6"/>
    <dgm:cxn modelId="{4ACFF6D2-EA65-4F84-BDCC-6D1151D304C2}" type="presParOf" srcId="{AEFFE124-DE64-4885-8202-16167C09E6BF}" destId="{D11EFD66-CCC3-48AE-9B52-C7F736CBBD74}" srcOrd="7" destOrd="0" presId="urn:microsoft.com/office/officeart/2005/8/layout/radial6"/>
    <dgm:cxn modelId="{32AF47D2-AFCA-45F8-9DB7-6BD04D468F25}" type="presParOf" srcId="{AEFFE124-DE64-4885-8202-16167C09E6BF}" destId="{32D585CF-1924-40A7-94A9-CF18CFC7486D}" srcOrd="8" destOrd="0" presId="urn:microsoft.com/office/officeart/2005/8/layout/radial6"/>
    <dgm:cxn modelId="{64376C67-B4ED-4DCA-A721-768F240DF40D}" type="presParOf" srcId="{AEFFE124-DE64-4885-8202-16167C09E6BF}" destId="{8500335E-345D-493E-9748-9CAAD9D17D35}" srcOrd="9" destOrd="0" presId="urn:microsoft.com/office/officeart/2005/8/layout/radial6"/>
    <dgm:cxn modelId="{1F1EC7F8-1D5C-47E4-B8CE-7DD664026E1C}" type="presParOf" srcId="{AEFFE124-DE64-4885-8202-16167C09E6BF}" destId="{64B8A021-EDA3-4ACA-8A71-BA2883530A1A}" srcOrd="10" destOrd="0" presId="urn:microsoft.com/office/officeart/2005/8/layout/radial6"/>
    <dgm:cxn modelId="{28C09587-4BE5-482F-AE8F-8DBFC1901FF3}" type="presParOf" srcId="{AEFFE124-DE64-4885-8202-16167C09E6BF}" destId="{FF2E4A10-07E5-4EC3-8296-FC0A8FC864B1}" srcOrd="11" destOrd="0" presId="urn:microsoft.com/office/officeart/2005/8/layout/radial6"/>
    <dgm:cxn modelId="{A2B3AFEB-3950-46F2-842D-802CD64A1B74}" type="presParOf" srcId="{AEFFE124-DE64-4885-8202-16167C09E6BF}" destId="{DE0124E4-DB35-4FB3-961D-A02EF5338CC0}" srcOrd="12" destOrd="0" presId="urn:microsoft.com/office/officeart/2005/8/layout/radial6"/>
    <dgm:cxn modelId="{49396E82-29EA-4759-9AA7-8C46959E0B72}" type="presParOf" srcId="{AEFFE124-DE64-4885-8202-16167C09E6BF}" destId="{3A29390F-52CB-4FB0-A746-D806029F64C9}" srcOrd="13" destOrd="0" presId="urn:microsoft.com/office/officeart/2005/8/layout/radial6"/>
    <dgm:cxn modelId="{2449B277-BA31-472E-BE15-9121236FD071}" type="presParOf" srcId="{AEFFE124-DE64-4885-8202-16167C09E6BF}" destId="{6F6493D2-F45B-433F-9FC4-0216538FF604}" srcOrd="14" destOrd="0" presId="urn:microsoft.com/office/officeart/2005/8/layout/radial6"/>
    <dgm:cxn modelId="{AC5BFF5B-F8C8-4384-9713-54088E94F3FB}" type="presParOf" srcId="{AEFFE124-DE64-4885-8202-16167C09E6BF}" destId="{ECE14BAD-8155-4AB7-A801-C98499538690}" srcOrd="15" destOrd="0" presId="urn:microsoft.com/office/officeart/2005/8/layout/radial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5B7EC1-0AF9-4859-B7C2-C49138255753}" type="doc">
      <dgm:prSet loTypeId="urn:microsoft.com/office/officeart/2005/8/layout/default" loCatId="list" qsTypeId="urn:microsoft.com/office/officeart/2005/8/quickstyle/simple1" qsCatId="simple" csTypeId="urn:microsoft.com/office/officeart/2005/8/colors/accent4_3" csCatId="accent4" phldr="1"/>
      <dgm:spPr/>
      <dgm:t>
        <a:bodyPr/>
        <a:lstStyle/>
        <a:p>
          <a:endParaRPr lang="nb-NO"/>
        </a:p>
      </dgm:t>
    </dgm:pt>
    <dgm:pt modelId="{ED7B67D2-B6AA-4B13-8F93-8FD141FDB798}">
      <dgm:prSet phldrT="[Tekst]"/>
      <dgm:spPr/>
      <dgm:t>
        <a:bodyPr/>
        <a:lstStyle/>
        <a:p>
          <a:r>
            <a:rPr lang="nb-NO"/>
            <a:t>Kredittrrisiko</a:t>
          </a:r>
        </a:p>
      </dgm:t>
    </dgm:pt>
    <dgm:pt modelId="{616D3AE0-B1BD-440E-86A1-9CAC70587945}" type="parTrans" cxnId="{3ECF855F-CD93-4AE1-B66D-143C7E531D25}">
      <dgm:prSet/>
      <dgm:spPr/>
      <dgm:t>
        <a:bodyPr/>
        <a:lstStyle/>
        <a:p>
          <a:endParaRPr lang="nb-NO"/>
        </a:p>
      </dgm:t>
    </dgm:pt>
    <dgm:pt modelId="{5EE0F399-6B20-4B98-B210-CE0B0AD9916C}" type="sibTrans" cxnId="{3ECF855F-CD93-4AE1-B66D-143C7E531D25}">
      <dgm:prSet/>
      <dgm:spPr/>
      <dgm:t>
        <a:bodyPr/>
        <a:lstStyle/>
        <a:p>
          <a:endParaRPr lang="nb-NO"/>
        </a:p>
      </dgm:t>
    </dgm:pt>
    <dgm:pt modelId="{1729FD16-8281-4493-B6B6-2A072AD63E52}">
      <dgm:prSet phldrT="[Tekst]"/>
      <dgm:spPr/>
      <dgm:t>
        <a:bodyPr/>
        <a:lstStyle/>
        <a:p>
          <a:r>
            <a:rPr lang="nb-NO"/>
            <a:t>Oppgjørsrisiko</a:t>
          </a:r>
        </a:p>
      </dgm:t>
    </dgm:pt>
    <dgm:pt modelId="{B33A2BFE-7725-4134-995C-827438E88DF3}" type="parTrans" cxnId="{52EA952D-558E-4B9D-8730-08656E350271}">
      <dgm:prSet/>
      <dgm:spPr/>
      <dgm:t>
        <a:bodyPr/>
        <a:lstStyle/>
        <a:p>
          <a:endParaRPr lang="nb-NO"/>
        </a:p>
      </dgm:t>
    </dgm:pt>
    <dgm:pt modelId="{EFD57599-A102-46CA-ABBD-F8899014750A}" type="sibTrans" cxnId="{52EA952D-558E-4B9D-8730-08656E350271}">
      <dgm:prSet/>
      <dgm:spPr/>
      <dgm:t>
        <a:bodyPr/>
        <a:lstStyle/>
        <a:p>
          <a:endParaRPr lang="nb-NO"/>
        </a:p>
      </dgm:t>
    </dgm:pt>
    <dgm:pt modelId="{CE477C05-33F2-4E95-9222-7CFE0D1D726A}">
      <dgm:prSet phldrT="[Tekst]"/>
      <dgm:spPr/>
      <dgm:t>
        <a:bodyPr/>
        <a:lstStyle/>
        <a:p>
          <a:r>
            <a:rPr lang="nb-NO"/>
            <a:t>Operasjonell risiko</a:t>
          </a:r>
        </a:p>
      </dgm:t>
    </dgm:pt>
    <dgm:pt modelId="{82B0C729-4FBC-4EC2-9FE0-3393D7ED9BA7}" type="parTrans" cxnId="{23FD7180-21CC-4C2E-A393-C16449CBC93D}">
      <dgm:prSet/>
      <dgm:spPr/>
      <dgm:t>
        <a:bodyPr/>
        <a:lstStyle/>
        <a:p>
          <a:endParaRPr lang="nb-NO"/>
        </a:p>
      </dgm:t>
    </dgm:pt>
    <dgm:pt modelId="{0635450C-606E-4F65-B962-A98DE588CCED}" type="sibTrans" cxnId="{23FD7180-21CC-4C2E-A393-C16449CBC93D}">
      <dgm:prSet/>
      <dgm:spPr/>
      <dgm:t>
        <a:bodyPr/>
        <a:lstStyle/>
        <a:p>
          <a:endParaRPr lang="nb-NO"/>
        </a:p>
      </dgm:t>
    </dgm:pt>
    <dgm:pt modelId="{28C07B36-AE72-4470-9326-FEC7340EE3A4}">
      <dgm:prSet phldrT="[Tekst]"/>
      <dgm:spPr/>
      <dgm:t>
        <a:bodyPr/>
        <a:lstStyle/>
        <a:p>
          <a:r>
            <a:rPr lang="nb-NO"/>
            <a:t>Likviditetsrisiko</a:t>
          </a:r>
        </a:p>
      </dgm:t>
    </dgm:pt>
    <dgm:pt modelId="{DC8D3CEF-FFB7-4187-9F78-996C96C4E78E}" type="parTrans" cxnId="{A6AAD226-B3C5-4C47-A626-214EDE287B63}">
      <dgm:prSet/>
      <dgm:spPr/>
      <dgm:t>
        <a:bodyPr/>
        <a:lstStyle/>
        <a:p>
          <a:endParaRPr lang="nb-NO"/>
        </a:p>
      </dgm:t>
    </dgm:pt>
    <dgm:pt modelId="{B6BBBF24-D9E7-489B-83A7-AF1E83DBC808}" type="sibTrans" cxnId="{A6AAD226-B3C5-4C47-A626-214EDE287B63}">
      <dgm:prSet/>
      <dgm:spPr/>
      <dgm:t>
        <a:bodyPr/>
        <a:lstStyle/>
        <a:p>
          <a:endParaRPr lang="nb-NO"/>
        </a:p>
      </dgm:t>
    </dgm:pt>
    <dgm:pt modelId="{9E6566E3-26A8-4A36-B685-4280B804BA1B}">
      <dgm:prSet phldrT="[Tekst]"/>
      <dgm:spPr/>
      <dgm:t>
        <a:bodyPr/>
        <a:lstStyle/>
        <a:p>
          <a:r>
            <a:rPr lang="nb-NO"/>
            <a:t>Kapitalrisiko</a:t>
          </a:r>
        </a:p>
      </dgm:t>
    </dgm:pt>
    <dgm:pt modelId="{969857E4-4293-4DF8-BE47-78AA11440B08}" type="parTrans" cxnId="{1F194FF6-4B21-4C76-9DBE-3F86EB3E51B7}">
      <dgm:prSet/>
      <dgm:spPr/>
      <dgm:t>
        <a:bodyPr/>
        <a:lstStyle/>
        <a:p>
          <a:endParaRPr lang="nb-NO"/>
        </a:p>
      </dgm:t>
    </dgm:pt>
    <dgm:pt modelId="{D7CBB475-F3CE-4B4D-9551-E9867AEC8473}" type="sibTrans" cxnId="{1F194FF6-4B21-4C76-9DBE-3F86EB3E51B7}">
      <dgm:prSet/>
      <dgm:spPr/>
      <dgm:t>
        <a:bodyPr/>
        <a:lstStyle/>
        <a:p>
          <a:endParaRPr lang="nb-NO"/>
        </a:p>
      </dgm:t>
    </dgm:pt>
    <dgm:pt modelId="{7D980F1A-555D-450D-B23A-9D12B524970A}">
      <dgm:prSet phldrT="[Tekst]"/>
      <dgm:spPr/>
      <dgm:t>
        <a:bodyPr/>
        <a:lstStyle/>
        <a:p>
          <a:r>
            <a:rPr lang="nb-NO"/>
            <a:t>Posisjon, valuta og varerisiko</a:t>
          </a:r>
        </a:p>
      </dgm:t>
    </dgm:pt>
    <dgm:pt modelId="{3F2DEBA7-D949-4289-AE3E-C621BF6C4999}" type="parTrans" cxnId="{A5CC6773-A3E3-4358-8BCF-B569896F313E}">
      <dgm:prSet/>
      <dgm:spPr/>
      <dgm:t>
        <a:bodyPr/>
        <a:lstStyle/>
        <a:p>
          <a:endParaRPr lang="nb-NO"/>
        </a:p>
      </dgm:t>
    </dgm:pt>
    <dgm:pt modelId="{B1C1172B-E77B-46E3-9F74-6FBF81178FA9}" type="sibTrans" cxnId="{A5CC6773-A3E3-4358-8BCF-B569896F313E}">
      <dgm:prSet/>
      <dgm:spPr/>
      <dgm:t>
        <a:bodyPr/>
        <a:lstStyle/>
        <a:p>
          <a:endParaRPr lang="nb-NO"/>
        </a:p>
      </dgm:t>
    </dgm:pt>
    <dgm:pt modelId="{429710BB-760D-496A-A38D-1E0272809B14}">
      <dgm:prSet phldrT="[Tekst]"/>
      <dgm:spPr/>
      <dgm:t>
        <a:bodyPr/>
        <a:lstStyle/>
        <a:p>
          <a:r>
            <a:rPr lang="nb-NO"/>
            <a:t>Strategisk risiko</a:t>
          </a:r>
        </a:p>
      </dgm:t>
    </dgm:pt>
    <dgm:pt modelId="{FDFBADEC-94AC-4E6A-86DA-063DDB37B093}" type="parTrans" cxnId="{155CF79D-F9B0-4694-AE3D-D7F0B483E5FD}">
      <dgm:prSet/>
      <dgm:spPr/>
      <dgm:t>
        <a:bodyPr/>
        <a:lstStyle/>
        <a:p>
          <a:endParaRPr lang="nb-NO"/>
        </a:p>
      </dgm:t>
    </dgm:pt>
    <dgm:pt modelId="{5B15E7A5-5B9C-408F-BF00-BF1FA8FA3897}" type="sibTrans" cxnId="{155CF79D-F9B0-4694-AE3D-D7F0B483E5FD}">
      <dgm:prSet/>
      <dgm:spPr/>
      <dgm:t>
        <a:bodyPr/>
        <a:lstStyle/>
        <a:p>
          <a:endParaRPr lang="nb-NO"/>
        </a:p>
      </dgm:t>
    </dgm:pt>
    <dgm:pt modelId="{B5CC39DB-D13F-4649-94B1-9F33B24E4190}">
      <dgm:prSet phldrT="[Tekst]"/>
      <dgm:spPr/>
      <dgm:t>
        <a:bodyPr/>
        <a:lstStyle/>
        <a:p>
          <a:r>
            <a:rPr lang="nb-NO"/>
            <a:t>Etterlevelsesrisiko (Compliance)</a:t>
          </a:r>
        </a:p>
      </dgm:t>
    </dgm:pt>
    <dgm:pt modelId="{C3D8E9F7-9C0E-42BD-A6BE-2CCD9DC9C83D}" type="parTrans" cxnId="{E02172CE-3C51-421A-ACE6-F698C5E5A10F}">
      <dgm:prSet/>
      <dgm:spPr/>
      <dgm:t>
        <a:bodyPr/>
        <a:lstStyle/>
        <a:p>
          <a:endParaRPr lang="nb-NO"/>
        </a:p>
      </dgm:t>
    </dgm:pt>
    <dgm:pt modelId="{B3D46FAB-2E5A-4841-B961-31AF70AD11EF}" type="sibTrans" cxnId="{E02172CE-3C51-421A-ACE6-F698C5E5A10F}">
      <dgm:prSet/>
      <dgm:spPr/>
      <dgm:t>
        <a:bodyPr/>
        <a:lstStyle/>
        <a:p>
          <a:endParaRPr lang="nb-NO"/>
        </a:p>
      </dgm:t>
    </dgm:pt>
    <dgm:pt modelId="{4D4BF5BC-4C69-49B6-8C29-F22AFFC1880A}">
      <dgm:prSet phldrT="[Tekst]"/>
      <dgm:spPr/>
      <dgm:t>
        <a:bodyPr/>
        <a:lstStyle/>
        <a:p>
          <a:r>
            <a:rPr lang="nb-NO"/>
            <a:t>Andre risikoer (inkl. makro)</a:t>
          </a:r>
        </a:p>
      </dgm:t>
    </dgm:pt>
    <dgm:pt modelId="{998BBB51-BE28-4BD4-9A9E-BCFBC5DD9867}" type="parTrans" cxnId="{EA0633F8-7484-4987-909C-41E30C328F95}">
      <dgm:prSet/>
      <dgm:spPr/>
      <dgm:t>
        <a:bodyPr/>
        <a:lstStyle/>
        <a:p>
          <a:endParaRPr lang="nb-NO"/>
        </a:p>
      </dgm:t>
    </dgm:pt>
    <dgm:pt modelId="{87D553AA-B98C-4537-AB4B-022B77E701C1}" type="sibTrans" cxnId="{EA0633F8-7484-4987-909C-41E30C328F95}">
      <dgm:prSet/>
      <dgm:spPr/>
      <dgm:t>
        <a:bodyPr/>
        <a:lstStyle/>
        <a:p>
          <a:endParaRPr lang="nb-NO"/>
        </a:p>
      </dgm:t>
    </dgm:pt>
    <dgm:pt modelId="{8E827A73-066D-44EC-9CBD-1D04662C7277}" type="pres">
      <dgm:prSet presAssocID="{0B5B7EC1-0AF9-4859-B7C2-C49138255753}" presName="diagram" presStyleCnt="0">
        <dgm:presLayoutVars>
          <dgm:dir/>
          <dgm:resizeHandles val="exact"/>
        </dgm:presLayoutVars>
      </dgm:prSet>
      <dgm:spPr/>
      <dgm:t>
        <a:bodyPr/>
        <a:lstStyle/>
        <a:p>
          <a:endParaRPr lang="nb-NO"/>
        </a:p>
      </dgm:t>
    </dgm:pt>
    <dgm:pt modelId="{2B328849-80BE-4368-91A8-1F325A0C33B3}" type="pres">
      <dgm:prSet presAssocID="{ED7B67D2-B6AA-4B13-8F93-8FD141FDB798}" presName="node" presStyleLbl="node1" presStyleIdx="0" presStyleCnt="9">
        <dgm:presLayoutVars>
          <dgm:bulletEnabled val="1"/>
        </dgm:presLayoutVars>
      </dgm:prSet>
      <dgm:spPr/>
      <dgm:t>
        <a:bodyPr/>
        <a:lstStyle/>
        <a:p>
          <a:endParaRPr lang="nb-NO"/>
        </a:p>
      </dgm:t>
    </dgm:pt>
    <dgm:pt modelId="{9AEB589D-E4AF-4D3B-9803-360350243940}" type="pres">
      <dgm:prSet presAssocID="{5EE0F399-6B20-4B98-B210-CE0B0AD9916C}" presName="sibTrans" presStyleCnt="0"/>
      <dgm:spPr/>
    </dgm:pt>
    <dgm:pt modelId="{4AB3947B-A4C9-4693-9A40-BEBC1E2CDC9C}" type="pres">
      <dgm:prSet presAssocID="{1729FD16-8281-4493-B6B6-2A072AD63E52}" presName="node" presStyleLbl="node1" presStyleIdx="1" presStyleCnt="9">
        <dgm:presLayoutVars>
          <dgm:bulletEnabled val="1"/>
        </dgm:presLayoutVars>
      </dgm:prSet>
      <dgm:spPr/>
      <dgm:t>
        <a:bodyPr/>
        <a:lstStyle/>
        <a:p>
          <a:endParaRPr lang="nb-NO"/>
        </a:p>
      </dgm:t>
    </dgm:pt>
    <dgm:pt modelId="{BF5A0768-5612-4B67-BC55-55BDD1424EF4}" type="pres">
      <dgm:prSet presAssocID="{EFD57599-A102-46CA-ABBD-F8899014750A}" presName="sibTrans" presStyleCnt="0"/>
      <dgm:spPr/>
    </dgm:pt>
    <dgm:pt modelId="{B6E63B94-AABE-4C87-920A-F5CAF8ED5E20}" type="pres">
      <dgm:prSet presAssocID="{7D980F1A-555D-450D-B23A-9D12B524970A}" presName="node" presStyleLbl="node1" presStyleIdx="2" presStyleCnt="9">
        <dgm:presLayoutVars>
          <dgm:bulletEnabled val="1"/>
        </dgm:presLayoutVars>
      </dgm:prSet>
      <dgm:spPr/>
      <dgm:t>
        <a:bodyPr/>
        <a:lstStyle/>
        <a:p>
          <a:endParaRPr lang="nb-NO"/>
        </a:p>
      </dgm:t>
    </dgm:pt>
    <dgm:pt modelId="{44E2AD9A-F3F8-4BFC-B7D7-D95DDDD8A89F}" type="pres">
      <dgm:prSet presAssocID="{B1C1172B-E77B-46E3-9F74-6FBF81178FA9}" presName="sibTrans" presStyleCnt="0"/>
      <dgm:spPr/>
    </dgm:pt>
    <dgm:pt modelId="{9CBB5A9C-D25D-42E4-8017-16525167BB10}" type="pres">
      <dgm:prSet presAssocID="{CE477C05-33F2-4E95-9222-7CFE0D1D726A}" presName="node" presStyleLbl="node1" presStyleIdx="3" presStyleCnt="9">
        <dgm:presLayoutVars>
          <dgm:bulletEnabled val="1"/>
        </dgm:presLayoutVars>
      </dgm:prSet>
      <dgm:spPr/>
      <dgm:t>
        <a:bodyPr/>
        <a:lstStyle/>
        <a:p>
          <a:endParaRPr lang="nb-NO"/>
        </a:p>
      </dgm:t>
    </dgm:pt>
    <dgm:pt modelId="{EDEE572B-0734-4328-85D9-FD76429E0195}" type="pres">
      <dgm:prSet presAssocID="{0635450C-606E-4F65-B962-A98DE588CCED}" presName="sibTrans" presStyleCnt="0"/>
      <dgm:spPr/>
    </dgm:pt>
    <dgm:pt modelId="{7A05E318-36C0-4FFA-8A91-58FEA728E789}" type="pres">
      <dgm:prSet presAssocID="{28C07B36-AE72-4470-9326-FEC7340EE3A4}" presName="node" presStyleLbl="node1" presStyleIdx="4" presStyleCnt="9">
        <dgm:presLayoutVars>
          <dgm:bulletEnabled val="1"/>
        </dgm:presLayoutVars>
      </dgm:prSet>
      <dgm:spPr/>
      <dgm:t>
        <a:bodyPr/>
        <a:lstStyle/>
        <a:p>
          <a:endParaRPr lang="nb-NO"/>
        </a:p>
      </dgm:t>
    </dgm:pt>
    <dgm:pt modelId="{BC1BC6FD-896B-408B-BE5E-1CCDCAFAC79F}" type="pres">
      <dgm:prSet presAssocID="{B6BBBF24-D9E7-489B-83A7-AF1E83DBC808}" presName="sibTrans" presStyleCnt="0"/>
      <dgm:spPr/>
    </dgm:pt>
    <dgm:pt modelId="{EFD9CC21-AF61-4B3C-ABFE-EC32EEA98920}" type="pres">
      <dgm:prSet presAssocID="{9E6566E3-26A8-4A36-B685-4280B804BA1B}" presName="node" presStyleLbl="node1" presStyleIdx="5" presStyleCnt="9">
        <dgm:presLayoutVars>
          <dgm:bulletEnabled val="1"/>
        </dgm:presLayoutVars>
      </dgm:prSet>
      <dgm:spPr/>
      <dgm:t>
        <a:bodyPr/>
        <a:lstStyle/>
        <a:p>
          <a:endParaRPr lang="nb-NO"/>
        </a:p>
      </dgm:t>
    </dgm:pt>
    <dgm:pt modelId="{5C99538E-BC37-4C3C-9E20-357FFC4B57C4}" type="pres">
      <dgm:prSet presAssocID="{D7CBB475-F3CE-4B4D-9551-E9867AEC8473}" presName="sibTrans" presStyleCnt="0"/>
      <dgm:spPr/>
    </dgm:pt>
    <dgm:pt modelId="{11F7DBAE-A414-4A64-A7B4-57FEE40AA735}" type="pres">
      <dgm:prSet presAssocID="{429710BB-760D-496A-A38D-1E0272809B14}" presName="node" presStyleLbl="node1" presStyleIdx="6" presStyleCnt="9">
        <dgm:presLayoutVars>
          <dgm:bulletEnabled val="1"/>
        </dgm:presLayoutVars>
      </dgm:prSet>
      <dgm:spPr/>
      <dgm:t>
        <a:bodyPr/>
        <a:lstStyle/>
        <a:p>
          <a:endParaRPr lang="nb-NO"/>
        </a:p>
      </dgm:t>
    </dgm:pt>
    <dgm:pt modelId="{8BA7B8EC-9EEB-4D39-97E5-F5F6656370A3}" type="pres">
      <dgm:prSet presAssocID="{5B15E7A5-5B9C-408F-BF00-BF1FA8FA3897}" presName="sibTrans" presStyleCnt="0"/>
      <dgm:spPr/>
    </dgm:pt>
    <dgm:pt modelId="{3AE2710F-24A6-45BF-BA32-2910495B6746}" type="pres">
      <dgm:prSet presAssocID="{B5CC39DB-D13F-4649-94B1-9F33B24E4190}" presName="node" presStyleLbl="node1" presStyleIdx="7" presStyleCnt="9">
        <dgm:presLayoutVars>
          <dgm:bulletEnabled val="1"/>
        </dgm:presLayoutVars>
      </dgm:prSet>
      <dgm:spPr/>
      <dgm:t>
        <a:bodyPr/>
        <a:lstStyle/>
        <a:p>
          <a:endParaRPr lang="nb-NO"/>
        </a:p>
      </dgm:t>
    </dgm:pt>
    <dgm:pt modelId="{58BC0390-D354-4D8F-8673-20A8F19C4DCC}" type="pres">
      <dgm:prSet presAssocID="{B3D46FAB-2E5A-4841-B961-31AF70AD11EF}" presName="sibTrans" presStyleCnt="0"/>
      <dgm:spPr/>
    </dgm:pt>
    <dgm:pt modelId="{0E6EE4C4-FD73-4C3C-848D-FFD6F13BF2A2}" type="pres">
      <dgm:prSet presAssocID="{4D4BF5BC-4C69-49B6-8C29-F22AFFC1880A}" presName="node" presStyleLbl="node1" presStyleIdx="8" presStyleCnt="9">
        <dgm:presLayoutVars>
          <dgm:bulletEnabled val="1"/>
        </dgm:presLayoutVars>
      </dgm:prSet>
      <dgm:spPr/>
      <dgm:t>
        <a:bodyPr/>
        <a:lstStyle/>
        <a:p>
          <a:endParaRPr lang="nb-NO"/>
        </a:p>
      </dgm:t>
    </dgm:pt>
  </dgm:ptLst>
  <dgm:cxnLst>
    <dgm:cxn modelId="{A6AAD226-B3C5-4C47-A626-214EDE287B63}" srcId="{0B5B7EC1-0AF9-4859-B7C2-C49138255753}" destId="{28C07B36-AE72-4470-9326-FEC7340EE3A4}" srcOrd="4" destOrd="0" parTransId="{DC8D3CEF-FFB7-4187-9F78-996C96C4E78E}" sibTransId="{B6BBBF24-D9E7-489B-83A7-AF1E83DBC808}"/>
    <dgm:cxn modelId="{A5CC6773-A3E3-4358-8BCF-B569896F313E}" srcId="{0B5B7EC1-0AF9-4859-B7C2-C49138255753}" destId="{7D980F1A-555D-450D-B23A-9D12B524970A}" srcOrd="2" destOrd="0" parTransId="{3F2DEBA7-D949-4289-AE3E-C621BF6C4999}" sibTransId="{B1C1172B-E77B-46E3-9F74-6FBF81178FA9}"/>
    <dgm:cxn modelId="{746A6B7D-DE03-42C4-A0A9-D8D7F7C1FE11}" type="presOf" srcId="{28C07B36-AE72-4470-9326-FEC7340EE3A4}" destId="{7A05E318-36C0-4FFA-8A91-58FEA728E789}" srcOrd="0" destOrd="0" presId="urn:microsoft.com/office/officeart/2005/8/layout/default"/>
    <dgm:cxn modelId="{42BDEF58-58CB-42C2-8F86-27ED5305FD6E}" type="presOf" srcId="{ED7B67D2-B6AA-4B13-8F93-8FD141FDB798}" destId="{2B328849-80BE-4368-91A8-1F325A0C33B3}" srcOrd="0" destOrd="0" presId="urn:microsoft.com/office/officeart/2005/8/layout/default"/>
    <dgm:cxn modelId="{4A70F733-7EC0-444B-939B-F6CCBE842377}" type="presOf" srcId="{4D4BF5BC-4C69-49B6-8C29-F22AFFC1880A}" destId="{0E6EE4C4-FD73-4C3C-848D-FFD6F13BF2A2}" srcOrd="0" destOrd="0" presId="urn:microsoft.com/office/officeart/2005/8/layout/default"/>
    <dgm:cxn modelId="{EA0633F8-7484-4987-909C-41E30C328F95}" srcId="{0B5B7EC1-0AF9-4859-B7C2-C49138255753}" destId="{4D4BF5BC-4C69-49B6-8C29-F22AFFC1880A}" srcOrd="8" destOrd="0" parTransId="{998BBB51-BE28-4BD4-9A9E-BCFBC5DD9867}" sibTransId="{87D553AA-B98C-4537-AB4B-022B77E701C1}"/>
    <dgm:cxn modelId="{39E797F1-6BDA-4348-B499-A3DC0B0013EB}" type="presOf" srcId="{0B5B7EC1-0AF9-4859-B7C2-C49138255753}" destId="{8E827A73-066D-44EC-9CBD-1D04662C7277}" srcOrd="0" destOrd="0" presId="urn:microsoft.com/office/officeart/2005/8/layout/default"/>
    <dgm:cxn modelId="{BFCED2C8-3FFA-449A-8905-6336E6D327F6}" type="presOf" srcId="{7D980F1A-555D-450D-B23A-9D12B524970A}" destId="{B6E63B94-AABE-4C87-920A-F5CAF8ED5E20}" srcOrd="0" destOrd="0" presId="urn:microsoft.com/office/officeart/2005/8/layout/default"/>
    <dgm:cxn modelId="{B1EB7354-E989-4413-97E6-06C78A6FC8E2}" type="presOf" srcId="{9E6566E3-26A8-4A36-B685-4280B804BA1B}" destId="{EFD9CC21-AF61-4B3C-ABFE-EC32EEA98920}" srcOrd="0" destOrd="0" presId="urn:microsoft.com/office/officeart/2005/8/layout/default"/>
    <dgm:cxn modelId="{031AE5BB-6825-4299-8C84-1D3744A1A9A2}" type="presOf" srcId="{CE477C05-33F2-4E95-9222-7CFE0D1D726A}" destId="{9CBB5A9C-D25D-42E4-8017-16525167BB10}" srcOrd="0" destOrd="0" presId="urn:microsoft.com/office/officeart/2005/8/layout/default"/>
    <dgm:cxn modelId="{1F194FF6-4B21-4C76-9DBE-3F86EB3E51B7}" srcId="{0B5B7EC1-0AF9-4859-B7C2-C49138255753}" destId="{9E6566E3-26A8-4A36-B685-4280B804BA1B}" srcOrd="5" destOrd="0" parTransId="{969857E4-4293-4DF8-BE47-78AA11440B08}" sibTransId="{D7CBB475-F3CE-4B4D-9551-E9867AEC8473}"/>
    <dgm:cxn modelId="{52EA952D-558E-4B9D-8730-08656E350271}" srcId="{0B5B7EC1-0AF9-4859-B7C2-C49138255753}" destId="{1729FD16-8281-4493-B6B6-2A072AD63E52}" srcOrd="1" destOrd="0" parTransId="{B33A2BFE-7725-4134-995C-827438E88DF3}" sibTransId="{EFD57599-A102-46CA-ABBD-F8899014750A}"/>
    <dgm:cxn modelId="{DDBB75FB-13A1-48C9-8E0D-9F75F626A3F5}" type="presOf" srcId="{B5CC39DB-D13F-4649-94B1-9F33B24E4190}" destId="{3AE2710F-24A6-45BF-BA32-2910495B6746}" srcOrd="0" destOrd="0" presId="urn:microsoft.com/office/officeart/2005/8/layout/default"/>
    <dgm:cxn modelId="{7B1F7531-AFC7-4C7A-AB96-75EEE28B68AB}" type="presOf" srcId="{1729FD16-8281-4493-B6B6-2A072AD63E52}" destId="{4AB3947B-A4C9-4693-9A40-BEBC1E2CDC9C}" srcOrd="0" destOrd="0" presId="urn:microsoft.com/office/officeart/2005/8/layout/default"/>
    <dgm:cxn modelId="{23FD7180-21CC-4C2E-A393-C16449CBC93D}" srcId="{0B5B7EC1-0AF9-4859-B7C2-C49138255753}" destId="{CE477C05-33F2-4E95-9222-7CFE0D1D726A}" srcOrd="3" destOrd="0" parTransId="{82B0C729-4FBC-4EC2-9FE0-3393D7ED9BA7}" sibTransId="{0635450C-606E-4F65-B962-A98DE588CCED}"/>
    <dgm:cxn modelId="{3ECF855F-CD93-4AE1-B66D-143C7E531D25}" srcId="{0B5B7EC1-0AF9-4859-B7C2-C49138255753}" destId="{ED7B67D2-B6AA-4B13-8F93-8FD141FDB798}" srcOrd="0" destOrd="0" parTransId="{616D3AE0-B1BD-440E-86A1-9CAC70587945}" sibTransId="{5EE0F399-6B20-4B98-B210-CE0B0AD9916C}"/>
    <dgm:cxn modelId="{EE76EC2E-317E-495F-BAF6-F24FADAA8C88}" type="presOf" srcId="{429710BB-760D-496A-A38D-1E0272809B14}" destId="{11F7DBAE-A414-4A64-A7B4-57FEE40AA735}" srcOrd="0" destOrd="0" presId="urn:microsoft.com/office/officeart/2005/8/layout/default"/>
    <dgm:cxn modelId="{155CF79D-F9B0-4694-AE3D-D7F0B483E5FD}" srcId="{0B5B7EC1-0AF9-4859-B7C2-C49138255753}" destId="{429710BB-760D-496A-A38D-1E0272809B14}" srcOrd="6" destOrd="0" parTransId="{FDFBADEC-94AC-4E6A-86DA-063DDB37B093}" sibTransId="{5B15E7A5-5B9C-408F-BF00-BF1FA8FA3897}"/>
    <dgm:cxn modelId="{E02172CE-3C51-421A-ACE6-F698C5E5A10F}" srcId="{0B5B7EC1-0AF9-4859-B7C2-C49138255753}" destId="{B5CC39DB-D13F-4649-94B1-9F33B24E4190}" srcOrd="7" destOrd="0" parTransId="{C3D8E9F7-9C0E-42BD-A6BE-2CCD9DC9C83D}" sibTransId="{B3D46FAB-2E5A-4841-B961-31AF70AD11EF}"/>
    <dgm:cxn modelId="{C140F6ED-DFA8-42C0-9494-C263C630BF0C}" type="presParOf" srcId="{8E827A73-066D-44EC-9CBD-1D04662C7277}" destId="{2B328849-80BE-4368-91A8-1F325A0C33B3}" srcOrd="0" destOrd="0" presId="urn:microsoft.com/office/officeart/2005/8/layout/default"/>
    <dgm:cxn modelId="{26C08CF1-7E4D-4C12-8716-B650F9EA6F3D}" type="presParOf" srcId="{8E827A73-066D-44EC-9CBD-1D04662C7277}" destId="{9AEB589D-E4AF-4D3B-9803-360350243940}" srcOrd="1" destOrd="0" presId="urn:microsoft.com/office/officeart/2005/8/layout/default"/>
    <dgm:cxn modelId="{83658180-B9DD-4C73-B910-D138761813C2}" type="presParOf" srcId="{8E827A73-066D-44EC-9CBD-1D04662C7277}" destId="{4AB3947B-A4C9-4693-9A40-BEBC1E2CDC9C}" srcOrd="2" destOrd="0" presId="urn:microsoft.com/office/officeart/2005/8/layout/default"/>
    <dgm:cxn modelId="{CD313063-2F9E-4577-B1E9-C7E49C865F2E}" type="presParOf" srcId="{8E827A73-066D-44EC-9CBD-1D04662C7277}" destId="{BF5A0768-5612-4B67-BC55-55BDD1424EF4}" srcOrd="3" destOrd="0" presId="urn:microsoft.com/office/officeart/2005/8/layout/default"/>
    <dgm:cxn modelId="{2959E982-3DCF-4924-852D-21B4235D1043}" type="presParOf" srcId="{8E827A73-066D-44EC-9CBD-1D04662C7277}" destId="{B6E63B94-AABE-4C87-920A-F5CAF8ED5E20}" srcOrd="4" destOrd="0" presId="urn:microsoft.com/office/officeart/2005/8/layout/default"/>
    <dgm:cxn modelId="{8D646975-9728-4C5E-9B91-F6278FAC4A14}" type="presParOf" srcId="{8E827A73-066D-44EC-9CBD-1D04662C7277}" destId="{44E2AD9A-F3F8-4BFC-B7D7-D95DDDD8A89F}" srcOrd="5" destOrd="0" presId="urn:microsoft.com/office/officeart/2005/8/layout/default"/>
    <dgm:cxn modelId="{158BB0A2-93CF-4696-97CC-1C684BAC6607}" type="presParOf" srcId="{8E827A73-066D-44EC-9CBD-1D04662C7277}" destId="{9CBB5A9C-D25D-42E4-8017-16525167BB10}" srcOrd="6" destOrd="0" presId="urn:microsoft.com/office/officeart/2005/8/layout/default"/>
    <dgm:cxn modelId="{D465EF44-37A8-482A-8A99-9D6F72BB8C28}" type="presParOf" srcId="{8E827A73-066D-44EC-9CBD-1D04662C7277}" destId="{EDEE572B-0734-4328-85D9-FD76429E0195}" srcOrd="7" destOrd="0" presId="urn:microsoft.com/office/officeart/2005/8/layout/default"/>
    <dgm:cxn modelId="{96608A75-1E31-4969-A911-62E743A5551B}" type="presParOf" srcId="{8E827A73-066D-44EC-9CBD-1D04662C7277}" destId="{7A05E318-36C0-4FFA-8A91-58FEA728E789}" srcOrd="8" destOrd="0" presId="urn:microsoft.com/office/officeart/2005/8/layout/default"/>
    <dgm:cxn modelId="{261B17DA-4098-4283-936D-7D0D1168163E}" type="presParOf" srcId="{8E827A73-066D-44EC-9CBD-1D04662C7277}" destId="{BC1BC6FD-896B-408B-BE5E-1CCDCAFAC79F}" srcOrd="9" destOrd="0" presId="urn:microsoft.com/office/officeart/2005/8/layout/default"/>
    <dgm:cxn modelId="{9B8ED838-771A-462F-8E67-E9F47F058B6C}" type="presParOf" srcId="{8E827A73-066D-44EC-9CBD-1D04662C7277}" destId="{EFD9CC21-AF61-4B3C-ABFE-EC32EEA98920}" srcOrd="10" destOrd="0" presId="urn:microsoft.com/office/officeart/2005/8/layout/default"/>
    <dgm:cxn modelId="{FBC8C2DA-FBEE-48B3-ADA6-DBADF4F78E45}" type="presParOf" srcId="{8E827A73-066D-44EC-9CBD-1D04662C7277}" destId="{5C99538E-BC37-4C3C-9E20-357FFC4B57C4}" srcOrd="11" destOrd="0" presId="urn:microsoft.com/office/officeart/2005/8/layout/default"/>
    <dgm:cxn modelId="{50F7DE37-22A1-4CA4-BB1C-F83ABACDE83F}" type="presParOf" srcId="{8E827A73-066D-44EC-9CBD-1D04662C7277}" destId="{11F7DBAE-A414-4A64-A7B4-57FEE40AA735}" srcOrd="12" destOrd="0" presId="urn:microsoft.com/office/officeart/2005/8/layout/default"/>
    <dgm:cxn modelId="{84443227-7AE1-42E2-9AE4-C6B40D23754A}" type="presParOf" srcId="{8E827A73-066D-44EC-9CBD-1D04662C7277}" destId="{8BA7B8EC-9EEB-4D39-97E5-F5F6656370A3}" srcOrd="13" destOrd="0" presId="urn:microsoft.com/office/officeart/2005/8/layout/default"/>
    <dgm:cxn modelId="{E27F81A8-CBC6-4091-9EFE-A0B201E17820}" type="presParOf" srcId="{8E827A73-066D-44EC-9CBD-1D04662C7277}" destId="{3AE2710F-24A6-45BF-BA32-2910495B6746}" srcOrd="14" destOrd="0" presId="urn:microsoft.com/office/officeart/2005/8/layout/default"/>
    <dgm:cxn modelId="{E0298B84-AD29-4BB2-BF70-82DAEAB092F5}" type="presParOf" srcId="{8E827A73-066D-44EC-9CBD-1D04662C7277}" destId="{58BC0390-D354-4D8F-8673-20A8F19C4DCC}" srcOrd="15" destOrd="0" presId="urn:microsoft.com/office/officeart/2005/8/layout/default"/>
    <dgm:cxn modelId="{5A86AAD6-7EEB-4354-AEEC-EDE88E6A1EF0}" type="presParOf" srcId="{8E827A73-066D-44EC-9CBD-1D04662C7277}" destId="{0E6EE4C4-FD73-4C3C-848D-FFD6F13BF2A2}" srcOrd="16" destOrd="0" presId="urn:microsoft.com/office/officeart/2005/8/layout/defaul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B8E2DCF-1399-4831-9A60-92A64EF0F8A0}" type="doc">
      <dgm:prSet loTypeId="urn:microsoft.com/office/officeart/2005/8/layout/radial6" loCatId="cycle" qsTypeId="urn:microsoft.com/office/officeart/2005/8/quickstyle/simple1" qsCatId="simple" csTypeId="urn:microsoft.com/office/officeart/2005/8/colors/colorful3" csCatId="colorful" phldr="1"/>
      <dgm:spPr/>
      <dgm:t>
        <a:bodyPr/>
        <a:lstStyle/>
        <a:p>
          <a:endParaRPr lang="nb-NO"/>
        </a:p>
      </dgm:t>
    </dgm:pt>
    <dgm:pt modelId="{35319923-C4C5-409A-BE4E-65C47A3CC40B}">
      <dgm:prSet phldrT="[Tekst]"/>
      <dgm:spPr/>
      <dgm:t>
        <a:bodyPr/>
        <a:lstStyle/>
        <a:p>
          <a:r>
            <a:rPr lang="nb-NO"/>
            <a:t>Konsentrasjons-risiko</a:t>
          </a:r>
        </a:p>
      </dgm:t>
    </dgm:pt>
    <dgm:pt modelId="{FBF6D084-A136-4A34-84AE-A4FA6073AC87}" type="parTrans" cxnId="{9C8B0D64-EA27-46F6-82BE-2847C4C67041}">
      <dgm:prSet/>
      <dgm:spPr/>
      <dgm:t>
        <a:bodyPr/>
        <a:lstStyle/>
        <a:p>
          <a:endParaRPr lang="nb-NO"/>
        </a:p>
      </dgm:t>
    </dgm:pt>
    <dgm:pt modelId="{5FF9F303-8C62-4938-B6E7-1062EC8B1399}" type="sibTrans" cxnId="{9C8B0D64-EA27-46F6-82BE-2847C4C67041}">
      <dgm:prSet/>
      <dgm:spPr/>
      <dgm:t>
        <a:bodyPr/>
        <a:lstStyle/>
        <a:p>
          <a:endParaRPr lang="nb-NO"/>
        </a:p>
      </dgm:t>
    </dgm:pt>
    <dgm:pt modelId="{0F4314C9-9AB2-4950-AC2A-B678F4F0DA17}">
      <dgm:prSet phldrT="[Tekst]"/>
      <dgm:spPr/>
      <dgm:t>
        <a:bodyPr/>
        <a:lstStyle/>
        <a:p>
          <a:r>
            <a:rPr lang="nb-NO"/>
            <a:t>Kunde</a:t>
          </a:r>
        </a:p>
      </dgm:t>
    </dgm:pt>
    <dgm:pt modelId="{CF555547-16F6-4BAA-AA6D-CF7A9FA7A13B}" type="parTrans" cxnId="{0FBED6B8-9301-494D-A83D-5E24D95598E5}">
      <dgm:prSet/>
      <dgm:spPr/>
      <dgm:t>
        <a:bodyPr/>
        <a:lstStyle/>
        <a:p>
          <a:endParaRPr lang="nb-NO"/>
        </a:p>
      </dgm:t>
    </dgm:pt>
    <dgm:pt modelId="{5682E2D2-DDFF-4E35-BD63-1ADBAF344A69}" type="sibTrans" cxnId="{0FBED6B8-9301-494D-A83D-5E24D95598E5}">
      <dgm:prSet/>
      <dgm:spPr/>
      <dgm:t>
        <a:bodyPr/>
        <a:lstStyle/>
        <a:p>
          <a:endParaRPr lang="nb-NO"/>
        </a:p>
      </dgm:t>
    </dgm:pt>
    <dgm:pt modelId="{F9AD7011-AB08-4BC4-94A2-13D429D780CC}">
      <dgm:prSet phldrT="[Tekst]"/>
      <dgm:spPr/>
      <dgm:t>
        <a:bodyPr/>
        <a:lstStyle/>
        <a:p>
          <a:r>
            <a:rPr lang="nb-NO"/>
            <a:t>Produkt / formål</a:t>
          </a:r>
        </a:p>
      </dgm:t>
    </dgm:pt>
    <dgm:pt modelId="{CBCD128D-D985-461A-A128-CACBD5F0981C}" type="parTrans" cxnId="{10105D66-13FE-4BE9-A218-479DE84353DA}">
      <dgm:prSet/>
      <dgm:spPr/>
      <dgm:t>
        <a:bodyPr/>
        <a:lstStyle/>
        <a:p>
          <a:endParaRPr lang="nb-NO"/>
        </a:p>
      </dgm:t>
    </dgm:pt>
    <dgm:pt modelId="{5C166794-D67E-4C62-8631-F7AB27B052E6}" type="sibTrans" cxnId="{10105D66-13FE-4BE9-A218-479DE84353DA}">
      <dgm:prSet/>
      <dgm:spPr/>
      <dgm:t>
        <a:bodyPr/>
        <a:lstStyle/>
        <a:p>
          <a:endParaRPr lang="nb-NO"/>
        </a:p>
      </dgm:t>
    </dgm:pt>
    <dgm:pt modelId="{9FEB491B-278A-4EDF-8501-A838B13FF1BF}">
      <dgm:prSet phldrT="[Tekst]"/>
      <dgm:spPr/>
      <dgm:t>
        <a:bodyPr/>
        <a:lstStyle/>
        <a:p>
          <a:r>
            <a:rPr lang="nb-NO"/>
            <a:t>Store eng.</a:t>
          </a:r>
        </a:p>
      </dgm:t>
    </dgm:pt>
    <dgm:pt modelId="{5763F0A5-4983-4678-9F91-7378FD2F61D7}" type="parTrans" cxnId="{8EB8CE72-FF98-42C4-B3AD-39B9159C4FB4}">
      <dgm:prSet/>
      <dgm:spPr/>
      <dgm:t>
        <a:bodyPr/>
        <a:lstStyle/>
        <a:p>
          <a:endParaRPr lang="nb-NO"/>
        </a:p>
      </dgm:t>
    </dgm:pt>
    <dgm:pt modelId="{9F0A8400-7034-49D7-B5AC-15397ED46101}" type="sibTrans" cxnId="{8EB8CE72-FF98-42C4-B3AD-39B9159C4FB4}">
      <dgm:prSet/>
      <dgm:spPr/>
      <dgm:t>
        <a:bodyPr/>
        <a:lstStyle/>
        <a:p>
          <a:endParaRPr lang="nb-NO"/>
        </a:p>
      </dgm:t>
    </dgm:pt>
    <dgm:pt modelId="{124EADB1-0856-4C82-9263-0D5770FD7321}">
      <dgm:prSet phldrT="[Tekst]"/>
      <dgm:spPr/>
      <dgm:t>
        <a:bodyPr/>
        <a:lstStyle/>
        <a:p>
          <a:r>
            <a:rPr lang="nb-NO"/>
            <a:t>Bransje / næring</a:t>
          </a:r>
        </a:p>
      </dgm:t>
    </dgm:pt>
    <dgm:pt modelId="{5BDB0B76-08E0-49D6-8506-092525FE82F0}" type="parTrans" cxnId="{28825227-B86D-4CB4-8BC6-BFC21C9480F7}">
      <dgm:prSet/>
      <dgm:spPr/>
      <dgm:t>
        <a:bodyPr/>
        <a:lstStyle/>
        <a:p>
          <a:endParaRPr lang="nb-NO"/>
        </a:p>
      </dgm:t>
    </dgm:pt>
    <dgm:pt modelId="{D39DCC9A-5F7D-4293-8B87-9F532F6D8E0D}" type="sibTrans" cxnId="{28825227-B86D-4CB4-8BC6-BFC21C9480F7}">
      <dgm:prSet/>
      <dgm:spPr/>
      <dgm:t>
        <a:bodyPr/>
        <a:lstStyle/>
        <a:p>
          <a:endParaRPr lang="nb-NO"/>
        </a:p>
      </dgm:t>
    </dgm:pt>
    <dgm:pt modelId="{C4536316-B459-4979-82DD-0B97072CA32B}">
      <dgm:prSet phldrT="[Tekst]"/>
      <dgm:spPr/>
      <dgm:t>
        <a:bodyPr/>
        <a:lstStyle/>
        <a:p>
          <a:r>
            <a:rPr lang="nb-NO"/>
            <a:t>Geografi</a:t>
          </a:r>
        </a:p>
      </dgm:t>
    </dgm:pt>
    <dgm:pt modelId="{34338C21-C3DE-4CB8-A88E-2FF60DCCA811}" type="parTrans" cxnId="{3C638F1D-6137-410E-807B-7D8C7BE6646D}">
      <dgm:prSet/>
      <dgm:spPr/>
      <dgm:t>
        <a:bodyPr/>
        <a:lstStyle/>
        <a:p>
          <a:endParaRPr lang="nb-NO"/>
        </a:p>
      </dgm:t>
    </dgm:pt>
    <dgm:pt modelId="{7D156927-2A54-45D7-A371-0C1E39802233}" type="sibTrans" cxnId="{3C638F1D-6137-410E-807B-7D8C7BE6646D}">
      <dgm:prSet/>
      <dgm:spPr/>
      <dgm:t>
        <a:bodyPr/>
        <a:lstStyle/>
        <a:p>
          <a:endParaRPr lang="nb-NO"/>
        </a:p>
      </dgm:t>
    </dgm:pt>
    <dgm:pt modelId="{F406B18E-F846-46D9-B72A-E7DD58124339}" type="pres">
      <dgm:prSet presAssocID="{1B8E2DCF-1399-4831-9A60-92A64EF0F8A0}" presName="Name0" presStyleCnt="0">
        <dgm:presLayoutVars>
          <dgm:chMax val="1"/>
          <dgm:dir/>
          <dgm:animLvl val="ctr"/>
          <dgm:resizeHandles val="exact"/>
        </dgm:presLayoutVars>
      </dgm:prSet>
      <dgm:spPr/>
      <dgm:t>
        <a:bodyPr/>
        <a:lstStyle/>
        <a:p>
          <a:endParaRPr lang="nb-NO"/>
        </a:p>
      </dgm:t>
    </dgm:pt>
    <dgm:pt modelId="{96D9DD2D-7EE7-4107-B022-4B352FDE83F4}" type="pres">
      <dgm:prSet presAssocID="{35319923-C4C5-409A-BE4E-65C47A3CC40B}" presName="centerShape" presStyleLbl="node0" presStyleIdx="0" presStyleCnt="1"/>
      <dgm:spPr/>
      <dgm:t>
        <a:bodyPr/>
        <a:lstStyle/>
        <a:p>
          <a:endParaRPr lang="nb-NO"/>
        </a:p>
      </dgm:t>
    </dgm:pt>
    <dgm:pt modelId="{BDFABC62-DB85-4648-812E-010C5310F8E0}" type="pres">
      <dgm:prSet presAssocID="{0F4314C9-9AB2-4950-AC2A-B678F4F0DA17}" presName="node" presStyleLbl="node1" presStyleIdx="0" presStyleCnt="5">
        <dgm:presLayoutVars>
          <dgm:bulletEnabled val="1"/>
        </dgm:presLayoutVars>
      </dgm:prSet>
      <dgm:spPr/>
      <dgm:t>
        <a:bodyPr/>
        <a:lstStyle/>
        <a:p>
          <a:endParaRPr lang="nb-NO"/>
        </a:p>
      </dgm:t>
    </dgm:pt>
    <dgm:pt modelId="{6295C302-95D5-4C80-BECA-0932A19BAE72}" type="pres">
      <dgm:prSet presAssocID="{0F4314C9-9AB2-4950-AC2A-B678F4F0DA17}" presName="dummy" presStyleCnt="0"/>
      <dgm:spPr/>
    </dgm:pt>
    <dgm:pt modelId="{9BA9A867-F573-44D8-872A-C54CE9F8C363}" type="pres">
      <dgm:prSet presAssocID="{5682E2D2-DDFF-4E35-BD63-1ADBAF344A69}" presName="sibTrans" presStyleLbl="sibTrans2D1" presStyleIdx="0" presStyleCnt="5"/>
      <dgm:spPr/>
      <dgm:t>
        <a:bodyPr/>
        <a:lstStyle/>
        <a:p>
          <a:endParaRPr lang="nb-NO"/>
        </a:p>
      </dgm:t>
    </dgm:pt>
    <dgm:pt modelId="{FEDFDD51-B60A-48A1-B5CD-F5DF752F5A14}" type="pres">
      <dgm:prSet presAssocID="{F9AD7011-AB08-4BC4-94A2-13D429D780CC}" presName="node" presStyleLbl="node1" presStyleIdx="1" presStyleCnt="5">
        <dgm:presLayoutVars>
          <dgm:bulletEnabled val="1"/>
        </dgm:presLayoutVars>
      </dgm:prSet>
      <dgm:spPr/>
      <dgm:t>
        <a:bodyPr/>
        <a:lstStyle/>
        <a:p>
          <a:endParaRPr lang="nb-NO"/>
        </a:p>
      </dgm:t>
    </dgm:pt>
    <dgm:pt modelId="{34130743-3F35-4B81-8DBC-27B691194430}" type="pres">
      <dgm:prSet presAssocID="{F9AD7011-AB08-4BC4-94A2-13D429D780CC}" presName="dummy" presStyleCnt="0"/>
      <dgm:spPr/>
    </dgm:pt>
    <dgm:pt modelId="{98FB7BA5-6846-4EC6-937B-5EEA249F1B17}" type="pres">
      <dgm:prSet presAssocID="{5C166794-D67E-4C62-8631-F7AB27B052E6}" presName="sibTrans" presStyleLbl="sibTrans2D1" presStyleIdx="1" presStyleCnt="5"/>
      <dgm:spPr/>
      <dgm:t>
        <a:bodyPr/>
        <a:lstStyle/>
        <a:p>
          <a:endParaRPr lang="nb-NO"/>
        </a:p>
      </dgm:t>
    </dgm:pt>
    <dgm:pt modelId="{69B6CF14-4FB5-4D73-9292-AEEE56033C4F}" type="pres">
      <dgm:prSet presAssocID="{C4536316-B459-4979-82DD-0B97072CA32B}" presName="node" presStyleLbl="node1" presStyleIdx="2" presStyleCnt="5">
        <dgm:presLayoutVars>
          <dgm:bulletEnabled val="1"/>
        </dgm:presLayoutVars>
      </dgm:prSet>
      <dgm:spPr/>
      <dgm:t>
        <a:bodyPr/>
        <a:lstStyle/>
        <a:p>
          <a:endParaRPr lang="nb-NO"/>
        </a:p>
      </dgm:t>
    </dgm:pt>
    <dgm:pt modelId="{128260A7-09FB-4387-A7C8-03A5178C22DC}" type="pres">
      <dgm:prSet presAssocID="{C4536316-B459-4979-82DD-0B97072CA32B}" presName="dummy" presStyleCnt="0"/>
      <dgm:spPr/>
    </dgm:pt>
    <dgm:pt modelId="{34310C21-1770-44BC-9D7D-D58BB5419910}" type="pres">
      <dgm:prSet presAssocID="{7D156927-2A54-45D7-A371-0C1E39802233}" presName="sibTrans" presStyleLbl="sibTrans2D1" presStyleIdx="2" presStyleCnt="5"/>
      <dgm:spPr/>
      <dgm:t>
        <a:bodyPr/>
        <a:lstStyle/>
        <a:p>
          <a:endParaRPr lang="nb-NO"/>
        </a:p>
      </dgm:t>
    </dgm:pt>
    <dgm:pt modelId="{600CC461-ED1E-41AA-8A2E-2CC922BB8179}" type="pres">
      <dgm:prSet presAssocID="{9FEB491B-278A-4EDF-8501-A838B13FF1BF}" presName="node" presStyleLbl="node1" presStyleIdx="3" presStyleCnt="5">
        <dgm:presLayoutVars>
          <dgm:bulletEnabled val="1"/>
        </dgm:presLayoutVars>
      </dgm:prSet>
      <dgm:spPr/>
      <dgm:t>
        <a:bodyPr/>
        <a:lstStyle/>
        <a:p>
          <a:endParaRPr lang="nb-NO"/>
        </a:p>
      </dgm:t>
    </dgm:pt>
    <dgm:pt modelId="{A3872834-6DD3-4AE5-923E-F14AF001008A}" type="pres">
      <dgm:prSet presAssocID="{9FEB491B-278A-4EDF-8501-A838B13FF1BF}" presName="dummy" presStyleCnt="0"/>
      <dgm:spPr/>
    </dgm:pt>
    <dgm:pt modelId="{613FE6DD-3D9B-430B-9BF5-C01B5835F0A4}" type="pres">
      <dgm:prSet presAssocID="{9F0A8400-7034-49D7-B5AC-15397ED46101}" presName="sibTrans" presStyleLbl="sibTrans2D1" presStyleIdx="3" presStyleCnt="5"/>
      <dgm:spPr/>
      <dgm:t>
        <a:bodyPr/>
        <a:lstStyle/>
        <a:p>
          <a:endParaRPr lang="nb-NO"/>
        </a:p>
      </dgm:t>
    </dgm:pt>
    <dgm:pt modelId="{F1D494BD-217F-4C50-8454-E28400145034}" type="pres">
      <dgm:prSet presAssocID="{124EADB1-0856-4C82-9263-0D5770FD7321}" presName="node" presStyleLbl="node1" presStyleIdx="4" presStyleCnt="5">
        <dgm:presLayoutVars>
          <dgm:bulletEnabled val="1"/>
        </dgm:presLayoutVars>
      </dgm:prSet>
      <dgm:spPr/>
      <dgm:t>
        <a:bodyPr/>
        <a:lstStyle/>
        <a:p>
          <a:endParaRPr lang="nb-NO"/>
        </a:p>
      </dgm:t>
    </dgm:pt>
    <dgm:pt modelId="{15C056A3-5162-43DF-8533-6DD891263702}" type="pres">
      <dgm:prSet presAssocID="{124EADB1-0856-4C82-9263-0D5770FD7321}" presName="dummy" presStyleCnt="0"/>
      <dgm:spPr/>
    </dgm:pt>
    <dgm:pt modelId="{B3AC1ED8-985C-49BF-8191-BB7633A0AA9D}" type="pres">
      <dgm:prSet presAssocID="{D39DCC9A-5F7D-4293-8B87-9F532F6D8E0D}" presName="sibTrans" presStyleLbl="sibTrans2D1" presStyleIdx="4" presStyleCnt="5"/>
      <dgm:spPr/>
      <dgm:t>
        <a:bodyPr/>
        <a:lstStyle/>
        <a:p>
          <a:endParaRPr lang="nb-NO"/>
        </a:p>
      </dgm:t>
    </dgm:pt>
  </dgm:ptLst>
  <dgm:cxnLst>
    <dgm:cxn modelId="{3C638F1D-6137-410E-807B-7D8C7BE6646D}" srcId="{35319923-C4C5-409A-BE4E-65C47A3CC40B}" destId="{C4536316-B459-4979-82DD-0B97072CA32B}" srcOrd="2" destOrd="0" parTransId="{34338C21-C3DE-4CB8-A88E-2FF60DCCA811}" sibTransId="{7D156927-2A54-45D7-A371-0C1E39802233}"/>
    <dgm:cxn modelId="{826CF447-5552-4829-894A-F529C8B7B92A}" type="presOf" srcId="{35319923-C4C5-409A-BE4E-65C47A3CC40B}" destId="{96D9DD2D-7EE7-4107-B022-4B352FDE83F4}" srcOrd="0" destOrd="0" presId="urn:microsoft.com/office/officeart/2005/8/layout/radial6"/>
    <dgm:cxn modelId="{0FBED6B8-9301-494D-A83D-5E24D95598E5}" srcId="{35319923-C4C5-409A-BE4E-65C47A3CC40B}" destId="{0F4314C9-9AB2-4950-AC2A-B678F4F0DA17}" srcOrd="0" destOrd="0" parTransId="{CF555547-16F6-4BAA-AA6D-CF7A9FA7A13B}" sibTransId="{5682E2D2-DDFF-4E35-BD63-1ADBAF344A69}"/>
    <dgm:cxn modelId="{1513A0FB-18B4-417A-8F14-11BE0C23C95A}" type="presOf" srcId="{5C166794-D67E-4C62-8631-F7AB27B052E6}" destId="{98FB7BA5-6846-4EC6-937B-5EEA249F1B17}" srcOrd="0" destOrd="0" presId="urn:microsoft.com/office/officeart/2005/8/layout/radial6"/>
    <dgm:cxn modelId="{AC624A71-27C2-41F6-9503-B5D98A5D3E2F}" type="presOf" srcId="{5682E2D2-DDFF-4E35-BD63-1ADBAF344A69}" destId="{9BA9A867-F573-44D8-872A-C54CE9F8C363}" srcOrd="0" destOrd="0" presId="urn:microsoft.com/office/officeart/2005/8/layout/radial6"/>
    <dgm:cxn modelId="{CC8EA87E-8BA5-41DC-B399-7CF140E9DDF4}" type="presOf" srcId="{7D156927-2A54-45D7-A371-0C1E39802233}" destId="{34310C21-1770-44BC-9D7D-D58BB5419910}" srcOrd="0" destOrd="0" presId="urn:microsoft.com/office/officeart/2005/8/layout/radial6"/>
    <dgm:cxn modelId="{11F2D702-7EE5-4E82-BF7B-E54A86CF3964}" type="presOf" srcId="{F9AD7011-AB08-4BC4-94A2-13D429D780CC}" destId="{FEDFDD51-B60A-48A1-B5CD-F5DF752F5A14}" srcOrd="0" destOrd="0" presId="urn:microsoft.com/office/officeart/2005/8/layout/radial6"/>
    <dgm:cxn modelId="{017E80D5-C73F-4D7F-B4EC-5F5EA1C72F15}" type="presOf" srcId="{0F4314C9-9AB2-4950-AC2A-B678F4F0DA17}" destId="{BDFABC62-DB85-4648-812E-010C5310F8E0}" srcOrd="0" destOrd="0" presId="urn:microsoft.com/office/officeart/2005/8/layout/radial6"/>
    <dgm:cxn modelId="{5B3AF035-4F40-4A5E-913D-B39170472555}" type="presOf" srcId="{9F0A8400-7034-49D7-B5AC-15397ED46101}" destId="{613FE6DD-3D9B-430B-9BF5-C01B5835F0A4}" srcOrd="0" destOrd="0" presId="urn:microsoft.com/office/officeart/2005/8/layout/radial6"/>
    <dgm:cxn modelId="{10105D66-13FE-4BE9-A218-479DE84353DA}" srcId="{35319923-C4C5-409A-BE4E-65C47A3CC40B}" destId="{F9AD7011-AB08-4BC4-94A2-13D429D780CC}" srcOrd="1" destOrd="0" parTransId="{CBCD128D-D985-461A-A128-CACBD5F0981C}" sibTransId="{5C166794-D67E-4C62-8631-F7AB27B052E6}"/>
    <dgm:cxn modelId="{9C8B0D64-EA27-46F6-82BE-2847C4C67041}" srcId="{1B8E2DCF-1399-4831-9A60-92A64EF0F8A0}" destId="{35319923-C4C5-409A-BE4E-65C47A3CC40B}" srcOrd="0" destOrd="0" parTransId="{FBF6D084-A136-4A34-84AE-A4FA6073AC87}" sibTransId="{5FF9F303-8C62-4938-B6E7-1062EC8B1399}"/>
    <dgm:cxn modelId="{4E575E3D-1008-4CB0-9A34-18E6B3E0D44A}" type="presOf" srcId="{D39DCC9A-5F7D-4293-8B87-9F532F6D8E0D}" destId="{B3AC1ED8-985C-49BF-8191-BB7633A0AA9D}" srcOrd="0" destOrd="0" presId="urn:microsoft.com/office/officeart/2005/8/layout/radial6"/>
    <dgm:cxn modelId="{86FAE1CD-CA78-4932-942A-7B0617202989}" type="presOf" srcId="{C4536316-B459-4979-82DD-0B97072CA32B}" destId="{69B6CF14-4FB5-4D73-9292-AEEE56033C4F}" srcOrd="0" destOrd="0" presId="urn:microsoft.com/office/officeart/2005/8/layout/radial6"/>
    <dgm:cxn modelId="{28825227-B86D-4CB4-8BC6-BFC21C9480F7}" srcId="{35319923-C4C5-409A-BE4E-65C47A3CC40B}" destId="{124EADB1-0856-4C82-9263-0D5770FD7321}" srcOrd="4" destOrd="0" parTransId="{5BDB0B76-08E0-49D6-8506-092525FE82F0}" sibTransId="{D39DCC9A-5F7D-4293-8B87-9F532F6D8E0D}"/>
    <dgm:cxn modelId="{8EB8CE72-FF98-42C4-B3AD-39B9159C4FB4}" srcId="{35319923-C4C5-409A-BE4E-65C47A3CC40B}" destId="{9FEB491B-278A-4EDF-8501-A838B13FF1BF}" srcOrd="3" destOrd="0" parTransId="{5763F0A5-4983-4678-9F91-7378FD2F61D7}" sibTransId="{9F0A8400-7034-49D7-B5AC-15397ED46101}"/>
    <dgm:cxn modelId="{B473F179-A786-47D2-9033-9C3DA19EE27E}" type="presOf" srcId="{1B8E2DCF-1399-4831-9A60-92A64EF0F8A0}" destId="{F406B18E-F846-46D9-B72A-E7DD58124339}" srcOrd="0" destOrd="0" presId="urn:microsoft.com/office/officeart/2005/8/layout/radial6"/>
    <dgm:cxn modelId="{427E2CC0-16AC-4336-945E-7BEC691E885A}" type="presOf" srcId="{9FEB491B-278A-4EDF-8501-A838B13FF1BF}" destId="{600CC461-ED1E-41AA-8A2E-2CC922BB8179}" srcOrd="0" destOrd="0" presId="urn:microsoft.com/office/officeart/2005/8/layout/radial6"/>
    <dgm:cxn modelId="{3365904B-9818-46D0-8BEA-B03C6C312995}" type="presOf" srcId="{124EADB1-0856-4C82-9263-0D5770FD7321}" destId="{F1D494BD-217F-4C50-8454-E28400145034}" srcOrd="0" destOrd="0" presId="urn:microsoft.com/office/officeart/2005/8/layout/radial6"/>
    <dgm:cxn modelId="{644DA3F2-5A70-4117-8C44-D9741398B2AD}" type="presParOf" srcId="{F406B18E-F846-46D9-B72A-E7DD58124339}" destId="{96D9DD2D-7EE7-4107-B022-4B352FDE83F4}" srcOrd="0" destOrd="0" presId="urn:microsoft.com/office/officeart/2005/8/layout/radial6"/>
    <dgm:cxn modelId="{0A34B572-BB61-40C0-BBFF-6F68101ECF12}" type="presParOf" srcId="{F406B18E-F846-46D9-B72A-E7DD58124339}" destId="{BDFABC62-DB85-4648-812E-010C5310F8E0}" srcOrd="1" destOrd="0" presId="urn:microsoft.com/office/officeart/2005/8/layout/radial6"/>
    <dgm:cxn modelId="{94F16795-6967-4472-A997-E8ED1D7A8655}" type="presParOf" srcId="{F406B18E-F846-46D9-B72A-E7DD58124339}" destId="{6295C302-95D5-4C80-BECA-0932A19BAE72}" srcOrd="2" destOrd="0" presId="urn:microsoft.com/office/officeart/2005/8/layout/radial6"/>
    <dgm:cxn modelId="{0423C37B-798C-46CA-B5A0-9DB43EFEB9D9}" type="presParOf" srcId="{F406B18E-F846-46D9-B72A-E7DD58124339}" destId="{9BA9A867-F573-44D8-872A-C54CE9F8C363}" srcOrd="3" destOrd="0" presId="urn:microsoft.com/office/officeart/2005/8/layout/radial6"/>
    <dgm:cxn modelId="{E4321ED3-DB72-4396-B9B9-E6ADAD3F515B}" type="presParOf" srcId="{F406B18E-F846-46D9-B72A-E7DD58124339}" destId="{FEDFDD51-B60A-48A1-B5CD-F5DF752F5A14}" srcOrd="4" destOrd="0" presId="urn:microsoft.com/office/officeart/2005/8/layout/radial6"/>
    <dgm:cxn modelId="{BAF1B4B2-79F0-4F14-8C1F-5C6442DD3DEE}" type="presParOf" srcId="{F406B18E-F846-46D9-B72A-E7DD58124339}" destId="{34130743-3F35-4B81-8DBC-27B691194430}" srcOrd="5" destOrd="0" presId="urn:microsoft.com/office/officeart/2005/8/layout/radial6"/>
    <dgm:cxn modelId="{F6EDCDAD-8D94-4469-981F-CF3339EE45D5}" type="presParOf" srcId="{F406B18E-F846-46D9-B72A-E7DD58124339}" destId="{98FB7BA5-6846-4EC6-937B-5EEA249F1B17}" srcOrd="6" destOrd="0" presId="urn:microsoft.com/office/officeart/2005/8/layout/radial6"/>
    <dgm:cxn modelId="{6BF782D4-4A48-428D-B9C3-1E94C68DC3BF}" type="presParOf" srcId="{F406B18E-F846-46D9-B72A-E7DD58124339}" destId="{69B6CF14-4FB5-4D73-9292-AEEE56033C4F}" srcOrd="7" destOrd="0" presId="urn:microsoft.com/office/officeart/2005/8/layout/radial6"/>
    <dgm:cxn modelId="{A8BF7865-A25F-482A-9DC3-F3A1C7F97429}" type="presParOf" srcId="{F406B18E-F846-46D9-B72A-E7DD58124339}" destId="{128260A7-09FB-4387-A7C8-03A5178C22DC}" srcOrd="8" destOrd="0" presId="urn:microsoft.com/office/officeart/2005/8/layout/radial6"/>
    <dgm:cxn modelId="{45DEE087-A0E7-4501-AFBA-EC42AB4E3159}" type="presParOf" srcId="{F406B18E-F846-46D9-B72A-E7DD58124339}" destId="{34310C21-1770-44BC-9D7D-D58BB5419910}" srcOrd="9" destOrd="0" presId="urn:microsoft.com/office/officeart/2005/8/layout/radial6"/>
    <dgm:cxn modelId="{5D018E5F-770B-4179-B43C-FCBCDF38261F}" type="presParOf" srcId="{F406B18E-F846-46D9-B72A-E7DD58124339}" destId="{600CC461-ED1E-41AA-8A2E-2CC922BB8179}" srcOrd="10" destOrd="0" presId="urn:microsoft.com/office/officeart/2005/8/layout/radial6"/>
    <dgm:cxn modelId="{D14E59C5-4104-49EF-AB5D-305D57E5F66D}" type="presParOf" srcId="{F406B18E-F846-46D9-B72A-E7DD58124339}" destId="{A3872834-6DD3-4AE5-923E-F14AF001008A}" srcOrd="11" destOrd="0" presId="urn:microsoft.com/office/officeart/2005/8/layout/radial6"/>
    <dgm:cxn modelId="{F70BF7E9-B4FF-4A8F-BB82-36C83548AA73}" type="presParOf" srcId="{F406B18E-F846-46D9-B72A-E7DD58124339}" destId="{613FE6DD-3D9B-430B-9BF5-C01B5835F0A4}" srcOrd="12" destOrd="0" presId="urn:microsoft.com/office/officeart/2005/8/layout/radial6"/>
    <dgm:cxn modelId="{B4847336-11BF-4236-A557-D3B056C9CFF5}" type="presParOf" srcId="{F406B18E-F846-46D9-B72A-E7DD58124339}" destId="{F1D494BD-217F-4C50-8454-E28400145034}" srcOrd="13" destOrd="0" presId="urn:microsoft.com/office/officeart/2005/8/layout/radial6"/>
    <dgm:cxn modelId="{7A501DF1-A55C-4015-8E38-A89D9BBF3F3C}" type="presParOf" srcId="{F406B18E-F846-46D9-B72A-E7DD58124339}" destId="{15C056A3-5162-43DF-8533-6DD891263702}" srcOrd="14" destOrd="0" presId="urn:microsoft.com/office/officeart/2005/8/layout/radial6"/>
    <dgm:cxn modelId="{472CB8DB-DBC6-45FA-BA8C-9C590B0091A3}" type="presParOf" srcId="{F406B18E-F846-46D9-B72A-E7DD58124339}" destId="{B3AC1ED8-985C-49BF-8191-BB7633A0AA9D}" srcOrd="15" destOrd="0" presId="urn:microsoft.com/office/officeart/2005/8/layout/radial6"/>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14BAD-8155-4AB7-A801-C98499538690}">
      <dsp:nvSpPr>
        <dsp:cNvPr id="0" name=""/>
        <dsp:cNvSpPr/>
      </dsp:nvSpPr>
      <dsp:spPr>
        <a:xfrm>
          <a:off x="1419719" y="314795"/>
          <a:ext cx="2103497" cy="2103497"/>
        </a:xfrm>
        <a:prstGeom prst="blockArc">
          <a:avLst>
            <a:gd name="adj1" fmla="val 11880000"/>
            <a:gd name="adj2" fmla="val 16200000"/>
            <a:gd name="adj3" fmla="val 4638"/>
          </a:avLst>
        </a:prstGeom>
        <a:solidFill>
          <a:srgbClr val="262614"/>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DE0124E4-DB35-4FB3-961D-A02EF5338CC0}">
      <dsp:nvSpPr>
        <dsp:cNvPr id="0" name=""/>
        <dsp:cNvSpPr/>
      </dsp:nvSpPr>
      <dsp:spPr>
        <a:xfrm>
          <a:off x="1419719" y="314795"/>
          <a:ext cx="2103497" cy="2103497"/>
        </a:xfrm>
        <a:prstGeom prst="blockArc">
          <a:avLst>
            <a:gd name="adj1" fmla="val 7560000"/>
            <a:gd name="adj2" fmla="val 11880000"/>
            <a:gd name="adj3" fmla="val 4638"/>
          </a:avLst>
        </a:prstGeom>
        <a:solidFill>
          <a:srgbClr val="AEAE96"/>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8500335E-345D-493E-9748-9CAAD9D17D35}">
      <dsp:nvSpPr>
        <dsp:cNvPr id="0" name=""/>
        <dsp:cNvSpPr/>
      </dsp:nvSpPr>
      <dsp:spPr>
        <a:xfrm>
          <a:off x="1419719" y="314795"/>
          <a:ext cx="2103497" cy="2103497"/>
        </a:xfrm>
        <a:prstGeom prst="blockArc">
          <a:avLst>
            <a:gd name="adj1" fmla="val 3240000"/>
            <a:gd name="adj2" fmla="val 7560000"/>
            <a:gd name="adj3" fmla="val 4638"/>
          </a:avLst>
        </a:prstGeom>
        <a:solidFill>
          <a:srgbClr val="C4BD97"/>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EE06F4D2-9DDC-488B-BE0A-AF7521821BDD}">
      <dsp:nvSpPr>
        <dsp:cNvPr id="0" name=""/>
        <dsp:cNvSpPr/>
      </dsp:nvSpPr>
      <dsp:spPr>
        <a:xfrm>
          <a:off x="1419719" y="314795"/>
          <a:ext cx="2103497" cy="2103497"/>
        </a:xfrm>
        <a:prstGeom prst="blockArc">
          <a:avLst>
            <a:gd name="adj1" fmla="val 20520000"/>
            <a:gd name="adj2" fmla="val 3240000"/>
            <a:gd name="adj3" fmla="val 4638"/>
          </a:avLst>
        </a:prstGeom>
        <a:solidFill>
          <a:srgbClr val="7F7F69"/>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B62C08DB-D401-4830-8310-21B029181C96}">
      <dsp:nvSpPr>
        <dsp:cNvPr id="0" name=""/>
        <dsp:cNvSpPr/>
      </dsp:nvSpPr>
      <dsp:spPr>
        <a:xfrm>
          <a:off x="1419719" y="314795"/>
          <a:ext cx="2103497" cy="2103497"/>
        </a:xfrm>
        <a:prstGeom prst="blockArc">
          <a:avLst>
            <a:gd name="adj1" fmla="val 16200000"/>
            <a:gd name="adj2" fmla="val 20520000"/>
            <a:gd name="adj3" fmla="val 4638"/>
          </a:avLst>
        </a:prstGeom>
        <a:solidFill>
          <a:srgbClr val="545446"/>
        </a:solidFill>
        <a:ln>
          <a:noFill/>
        </a:ln>
        <a:effectLst/>
        <a:sp3d z="-227350" prstMaterial="matte"/>
      </dsp:spPr>
      <dsp:style>
        <a:lnRef idx="0">
          <a:scrgbClr r="0" g="0" b="0"/>
        </a:lnRef>
        <a:fillRef idx="1">
          <a:scrgbClr r="0" g="0" b="0"/>
        </a:fillRef>
        <a:effectRef idx="0">
          <a:scrgbClr r="0" g="0" b="0"/>
        </a:effectRef>
        <a:fontRef idx="minor">
          <a:schemeClr val="lt1"/>
        </a:fontRef>
      </dsp:style>
    </dsp:sp>
    <dsp:sp modelId="{ADD75DEA-B0B1-4D81-9109-36C62866EF9B}">
      <dsp:nvSpPr>
        <dsp:cNvPr id="0" name=""/>
        <dsp:cNvSpPr/>
      </dsp:nvSpPr>
      <dsp:spPr>
        <a:xfrm>
          <a:off x="1987552" y="882628"/>
          <a:ext cx="967830" cy="967830"/>
        </a:xfrm>
        <a:prstGeom prst="ellipse">
          <a:avLst/>
        </a:prstGeom>
        <a:solidFill>
          <a:srgbClr val="AEAE96"/>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sp3d extrusionH="28000" prstMaterial="matte"/>
        </a:bodyPr>
        <a:lstStyle/>
        <a:p>
          <a:pPr lvl="0" algn="ctr" defTabSz="711200">
            <a:lnSpc>
              <a:spcPct val="90000"/>
            </a:lnSpc>
            <a:spcBef>
              <a:spcPct val="0"/>
            </a:spcBef>
            <a:spcAft>
              <a:spcPct val="35000"/>
            </a:spcAft>
          </a:pPr>
          <a:r>
            <a:rPr lang="nb-NO" sz="1600" kern="1200" dirty="0" smtClean="0"/>
            <a:t>Kapital</a:t>
          </a:r>
        </a:p>
        <a:p>
          <a:pPr lvl="0" algn="ctr" defTabSz="711200">
            <a:lnSpc>
              <a:spcPct val="90000"/>
            </a:lnSpc>
            <a:spcBef>
              <a:spcPct val="0"/>
            </a:spcBef>
            <a:spcAft>
              <a:spcPct val="35000"/>
            </a:spcAft>
          </a:pPr>
          <a:r>
            <a:rPr lang="nb-NO" sz="1600" kern="1200" dirty="0" smtClean="0"/>
            <a:t>plan</a:t>
          </a:r>
          <a:endParaRPr lang="nb-NO" sz="1600" kern="1200" dirty="0"/>
        </a:p>
      </dsp:txBody>
      <dsp:txXfrm>
        <a:off x="2129287" y="1024363"/>
        <a:ext cx="684360" cy="684360"/>
      </dsp:txXfrm>
    </dsp:sp>
    <dsp:sp modelId="{B579EF4A-4ADD-439D-A9E7-6570AFC0583C}">
      <dsp:nvSpPr>
        <dsp:cNvPr id="0" name=""/>
        <dsp:cNvSpPr/>
      </dsp:nvSpPr>
      <dsp:spPr>
        <a:xfrm>
          <a:off x="2132727" y="443"/>
          <a:ext cx="677481" cy="677481"/>
        </a:xfrm>
        <a:prstGeom prst="ellipse">
          <a:avLst/>
        </a:prstGeom>
        <a:solidFill>
          <a:srgbClr val="FFC000"/>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sp3d extrusionH="28000" prstMaterial="matte"/>
        </a:bodyPr>
        <a:lstStyle/>
        <a:p>
          <a:pPr lvl="0" algn="ctr" defTabSz="444500">
            <a:lnSpc>
              <a:spcPct val="90000"/>
            </a:lnSpc>
            <a:spcBef>
              <a:spcPct val="0"/>
            </a:spcBef>
            <a:spcAft>
              <a:spcPct val="35000"/>
            </a:spcAft>
          </a:pPr>
          <a:r>
            <a:rPr lang="nb-NO" sz="1000" kern="1200" dirty="0" smtClean="0"/>
            <a:t>ICAAP</a:t>
          </a:r>
          <a:endParaRPr lang="nb-NO" sz="1000" kern="1200" dirty="0"/>
        </a:p>
      </dsp:txBody>
      <dsp:txXfrm>
        <a:off x="2231942" y="99658"/>
        <a:ext cx="479051" cy="479051"/>
      </dsp:txXfrm>
    </dsp:sp>
    <dsp:sp modelId="{ED0CE515-F1FD-421A-AC07-6293317F81DF}">
      <dsp:nvSpPr>
        <dsp:cNvPr id="0" name=""/>
        <dsp:cNvSpPr/>
      </dsp:nvSpPr>
      <dsp:spPr>
        <a:xfrm>
          <a:off x="3109804" y="710331"/>
          <a:ext cx="677481" cy="677481"/>
        </a:xfrm>
        <a:prstGeom prst="ellipse">
          <a:avLst/>
        </a:prstGeom>
        <a:solidFill>
          <a:srgbClr val="C47500"/>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sp3d extrusionH="28000" prstMaterial="matte"/>
        </a:bodyPr>
        <a:lstStyle/>
        <a:p>
          <a:pPr lvl="0" algn="ctr" defTabSz="444500">
            <a:lnSpc>
              <a:spcPct val="90000"/>
            </a:lnSpc>
            <a:spcBef>
              <a:spcPct val="0"/>
            </a:spcBef>
            <a:spcAft>
              <a:spcPct val="35000"/>
            </a:spcAft>
          </a:pPr>
          <a:r>
            <a:rPr lang="nb-NO" sz="1000" kern="1200" dirty="0" err="1" smtClean="0"/>
            <a:t>Progn-oser</a:t>
          </a:r>
          <a:endParaRPr lang="nb-NO" sz="1000" kern="1200" dirty="0"/>
        </a:p>
      </dsp:txBody>
      <dsp:txXfrm>
        <a:off x="3209019" y="809546"/>
        <a:ext cx="479051" cy="479051"/>
      </dsp:txXfrm>
    </dsp:sp>
    <dsp:sp modelId="{D11EFD66-CCC3-48AE-9B52-C7F736CBBD74}">
      <dsp:nvSpPr>
        <dsp:cNvPr id="0" name=""/>
        <dsp:cNvSpPr/>
      </dsp:nvSpPr>
      <dsp:spPr>
        <a:xfrm>
          <a:off x="2736594" y="1858954"/>
          <a:ext cx="677481" cy="677481"/>
        </a:xfrm>
        <a:prstGeom prst="ellipse">
          <a:avLst/>
        </a:prstGeom>
        <a:solidFill>
          <a:srgbClr val="FF7E1D"/>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sp3d extrusionH="28000" prstMaterial="matte"/>
        </a:bodyPr>
        <a:lstStyle/>
        <a:p>
          <a:pPr lvl="0" algn="ctr" defTabSz="444500">
            <a:lnSpc>
              <a:spcPct val="90000"/>
            </a:lnSpc>
            <a:spcBef>
              <a:spcPct val="0"/>
            </a:spcBef>
            <a:spcAft>
              <a:spcPct val="35000"/>
            </a:spcAft>
          </a:pPr>
          <a:r>
            <a:rPr lang="nb-NO" sz="1000" kern="1200" dirty="0" smtClean="0"/>
            <a:t>Fin. </a:t>
          </a:r>
        </a:p>
        <a:p>
          <a:pPr lvl="0" algn="ctr" defTabSz="444500">
            <a:lnSpc>
              <a:spcPct val="90000"/>
            </a:lnSpc>
            <a:spcBef>
              <a:spcPct val="0"/>
            </a:spcBef>
            <a:spcAft>
              <a:spcPct val="35000"/>
            </a:spcAft>
          </a:pPr>
          <a:r>
            <a:rPr lang="nb-NO" sz="1000" kern="1200" dirty="0" smtClean="0"/>
            <a:t>strategi</a:t>
          </a:r>
          <a:endParaRPr lang="nb-NO" sz="1000" kern="1200" dirty="0"/>
        </a:p>
      </dsp:txBody>
      <dsp:txXfrm>
        <a:off x="2835809" y="1958169"/>
        <a:ext cx="479051" cy="479051"/>
      </dsp:txXfrm>
    </dsp:sp>
    <dsp:sp modelId="{64B8A021-EDA3-4ACA-8A71-BA2883530A1A}">
      <dsp:nvSpPr>
        <dsp:cNvPr id="0" name=""/>
        <dsp:cNvSpPr/>
      </dsp:nvSpPr>
      <dsp:spPr>
        <a:xfrm>
          <a:off x="1528860" y="1858954"/>
          <a:ext cx="677481" cy="677481"/>
        </a:xfrm>
        <a:prstGeom prst="ellipse">
          <a:avLst/>
        </a:prstGeom>
        <a:solidFill>
          <a:srgbClr val="D6A300"/>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sp3d extrusionH="28000" prstMaterial="matte"/>
        </a:bodyPr>
        <a:lstStyle/>
        <a:p>
          <a:pPr lvl="0" algn="ctr" defTabSz="444500">
            <a:lnSpc>
              <a:spcPct val="90000"/>
            </a:lnSpc>
            <a:spcBef>
              <a:spcPct val="0"/>
            </a:spcBef>
            <a:spcAft>
              <a:spcPct val="35000"/>
            </a:spcAft>
          </a:pPr>
          <a:r>
            <a:rPr lang="nb-NO" sz="1000" kern="1200" dirty="0" smtClean="0"/>
            <a:t>Likvid.</a:t>
          </a:r>
        </a:p>
        <a:p>
          <a:pPr lvl="0" algn="ctr" defTabSz="444500">
            <a:lnSpc>
              <a:spcPct val="90000"/>
            </a:lnSpc>
            <a:spcBef>
              <a:spcPct val="0"/>
            </a:spcBef>
            <a:spcAft>
              <a:spcPct val="35000"/>
            </a:spcAft>
          </a:pPr>
          <a:r>
            <a:rPr lang="nb-NO" sz="1000" kern="1200" dirty="0" smtClean="0"/>
            <a:t>strategi</a:t>
          </a:r>
          <a:endParaRPr lang="nb-NO" sz="1000" kern="1200" dirty="0"/>
        </a:p>
      </dsp:txBody>
      <dsp:txXfrm>
        <a:off x="1628075" y="1958169"/>
        <a:ext cx="479051" cy="479051"/>
      </dsp:txXfrm>
    </dsp:sp>
    <dsp:sp modelId="{3A29390F-52CB-4FB0-A746-D806029F64C9}">
      <dsp:nvSpPr>
        <dsp:cNvPr id="0" name=""/>
        <dsp:cNvSpPr/>
      </dsp:nvSpPr>
      <dsp:spPr>
        <a:xfrm>
          <a:off x="1155650" y="710331"/>
          <a:ext cx="677481" cy="677481"/>
        </a:xfrm>
        <a:prstGeom prst="ellipse">
          <a:avLst/>
        </a:prstGeom>
        <a:solidFill>
          <a:srgbClr val="FFDA65"/>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sp3d extrusionH="28000" prstMaterial="matte"/>
        </a:bodyPr>
        <a:lstStyle/>
        <a:p>
          <a:pPr lvl="0" algn="ctr" defTabSz="444500">
            <a:lnSpc>
              <a:spcPct val="90000"/>
            </a:lnSpc>
            <a:spcBef>
              <a:spcPct val="0"/>
            </a:spcBef>
            <a:spcAft>
              <a:spcPct val="35000"/>
            </a:spcAft>
          </a:pPr>
          <a:r>
            <a:rPr lang="nb-NO" sz="1000" kern="1200" dirty="0" smtClean="0"/>
            <a:t>Kreditt strategi</a:t>
          </a:r>
          <a:endParaRPr lang="nb-NO" sz="1000" kern="1200" dirty="0"/>
        </a:p>
      </dsp:txBody>
      <dsp:txXfrm>
        <a:off x="1254865" y="809546"/>
        <a:ext cx="479051" cy="4790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28849-80BE-4368-91A8-1F325A0C33B3}">
      <dsp:nvSpPr>
        <dsp:cNvPr id="0" name=""/>
        <dsp:cNvSpPr/>
      </dsp:nvSpPr>
      <dsp:spPr>
        <a:xfrm>
          <a:off x="184308" y="892"/>
          <a:ext cx="1599307" cy="959584"/>
        </a:xfrm>
        <a:prstGeom prst="rect">
          <a:avLst/>
        </a:prstGeom>
        <a:solidFill>
          <a:schemeClr val="accent4">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kern="1200"/>
            <a:t>Kredittrrisiko</a:t>
          </a:r>
        </a:p>
      </dsp:txBody>
      <dsp:txXfrm>
        <a:off x="184308" y="892"/>
        <a:ext cx="1599307" cy="959584"/>
      </dsp:txXfrm>
    </dsp:sp>
    <dsp:sp modelId="{4AB3947B-A4C9-4693-9A40-BEBC1E2CDC9C}">
      <dsp:nvSpPr>
        <dsp:cNvPr id="0" name=""/>
        <dsp:cNvSpPr/>
      </dsp:nvSpPr>
      <dsp:spPr>
        <a:xfrm>
          <a:off x="1943546" y="892"/>
          <a:ext cx="1599307" cy="959584"/>
        </a:xfrm>
        <a:prstGeom prst="rect">
          <a:avLst/>
        </a:prstGeom>
        <a:solidFill>
          <a:schemeClr val="accent4">
            <a:shade val="80000"/>
            <a:hueOff val="0"/>
            <a:satOff val="0"/>
            <a:lumOff val="312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kern="1200"/>
            <a:t>Oppgjørsrisiko</a:t>
          </a:r>
        </a:p>
      </dsp:txBody>
      <dsp:txXfrm>
        <a:off x="1943546" y="892"/>
        <a:ext cx="1599307" cy="959584"/>
      </dsp:txXfrm>
    </dsp:sp>
    <dsp:sp modelId="{B6E63B94-AABE-4C87-920A-F5CAF8ED5E20}">
      <dsp:nvSpPr>
        <dsp:cNvPr id="0" name=""/>
        <dsp:cNvSpPr/>
      </dsp:nvSpPr>
      <dsp:spPr>
        <a:xfrm>
          <a:off x="3702784" y="892"/>
          <a:ext cx="1599307" cy="959584"/>
        </a:xfrm>
        <a:prstGeom prst="rect">
          <a:avLst/>
        </a:prstGeom>
        <a:solidFill>
          <a:schemeClr val="accent4">
            <a:shade val="80000"/>
            <a:hueOff val="0"/>
            <a:satOff val="0"/>
            <a:lumOff val="62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kern="1200"/>
            <a:t>Posisjon, valuta og varerisiko</a:t>
          </a:r>
        </a:p>
      </dsp:txBody>
      <dsp:txXfrm>
        <a:off x="3702784" y="892"/>
        <a:ext cx="1599307" cy="959584"/>
      </dsp:txXfrm>
    </dsp:sp>
    <dsp:sp modelId="{9CBB5A9C-D25D-42E4-8017-16525167BB10}">
      <dsp:nvSpPr>
        <dsp:cNvPr id="0" name=""/>
        <dsp:cNvSpPr/>
      </dsp:nvSpPr>
      <dsp:spPr>
        <a:xfrm>
          <a:off x="184308" y="1120407"/>
          <a:ext cx="1599307" cy="959584"/>
        </a:xfrm>
        <a:prstGeom prst="rect">
          <a:avLst/>
        </a:prstGeom>
        <a:solidFill>
          <a:schemeClr val="accent4">
            <a:shade val="80000"/>
            <a:hueOff val="0"/>
            <a:satOff val="0"/>
            <a:lumOff val="93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kern="1200"/>
            <a:t>Operasjonell risiko</a:t>
          </a:r>
        </a:p>
      </dsp:txBody>
      <dsp:txXfrm>
        <a:off x="184308" y="1120407"/>
        <a:ext cx="1599307" cy="959584"/>
      </dsp:txXfrm>
    </dsp:sp>
    <dsp:sp modelId="{7A05E318-36C0-4FFA-8A91-58FEA728E789}">
      <dsp:nvSpPr>
        <dsp:cNvPr id="0" name=""/>
        <dsp:cNvSpPr/>
      </dsp:nvSpPr>
      <dsp:spPr>
        <a:xfrm>
          <a:off x="1943546" y="1120407"/>
          <a:ext cx="1599307" cy="959584"/>
        </a:xfrm>
        <a:prstGeom prst="rect">
          <a:avLst/>
        </a:prstGeom>
        <a:solidFill>
          <a:schemeClr val="accent4">
            <a:shade val="80000"/>
            <a:hueOff val="0"/>
            <a:satOff val="0"/>
            <a:lumOff val="1248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kern="1200"/>
            <a:t>Likviditetsrisiko</a:t>
          </a:r>
        </a:p>
      </dsp:txBody>
      <dsp:txXfrm>
        <a:off x="1943546" y="1120407"/>
        <a:ext cx="1599307" cy="959584"/>
      </dsp:txXfrm>
    </dsp:sp>
    <dsp:sp modelId="{EFD9CC21-AF61-4B3C-ABFE-EC32EEA98920}">
      <dsp:nvSpPr>
        <dsp:cNvPr id="0" name=""/>
        <dsp:cNvSpPr/>
      </dsp:nvSpPr>
      <dsp:spPr>
        <a:xfrm>
          <a:off x="3702784" y="1120407"/>
          <a:ext cx="1599307" cy="959584"/>
        </a:xfrm>
        <a:prstGeom prst="rect">
          <a:avLst/>
        </a:prstGeom>
        <a:solidFill>
          <a:schemeClr val="accent4">
            <a:shade val="80000"/>
            <a:hueOff val="0"/>
            <a:satOff val="0"/>
            <a:lumOff val="1560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kern="1200"/>
            <a:t>Kapitalrisiko</a:t>
          </a:r>
        </a:p>
      </dsp:txBody>
      <dsp:txXfrm>
        <a:off x="3702784" y="1120407"/>
        <a:ext cx="1599307" cy="959584"/>
      </dsp:txXfrm>
    </dsp:sp>
    <dsp:sp modelId="{11F7DBAE-A414-4A64-A7B4-57FEE40AA735}">
      <dsp:nvSpPr>
        <dsp:cNvPr id="0" name=""/>
        <dsp:cNvSpPr/>
      </dsp:nvSpPr>
      <dsp:spPr>
        <a:xfrm>
          <a:off x="184308" y="2239922"/>
          <a:ext cx="1599307" cy="959584"/>
        </a:xfrm>
        <a:prstGeom prst="rect">
          <a:avLst/>
        </a:prstGeom>
        <a:solidFill>
          <a:schemeClr val="accent4">
            <a:shade val="80000"/>
            <a:hueOff val="0"/>
            <a:satOff val="0"/>
            <a:lumOff val="1872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kern="1200"/>
            <a:t>Strategisk risiko</a:t>
          </a:r>
        </a:p>
      </dsp:txBody>
      <dsp:txXfrm>
        <a:off x="184308" y="2239922"/>
        <a:ext cx="1599307" cy="959584"/>
      </dsp:txXfrm>
    </dsp:sp>
    <dsp:sp modelId="{3AE2710F-24A6-45BF-BA32-2910495B6746}">
      <dsp:nvSpPr>
        <dsp:cNvPr id="0" name=""/>
        <dsp:cNvSpPr/>
      </dsp:nvSpPr>
      <dsp:spPr>
        <a:xfrm>
          <a:off x="1943546" y="2239922"/>
          <a:ext cx="1599307" cy="959584"/>
        </a:xfrm>
        <a:prstGeom prst="rect">
          <a:avLst/>
        </a:prstGeom>
        <a:solidFill>
          <a:schemeClr val="accent4">
            <a:shade val="80000"/>
            <a:hueOff val="0"/>
            <a:satOff val="0"/>
            <a:lumOff val="2184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kern="1200"/>
            <a:t>Etterlevelsesrisiko (Compliance)</a:t>
          </a:r>
        </a:p>
      </dsp:txBody>
      <dsp:txXfrm>
        <a:off x="1943546" y="2239922"/>
        <a:ext cx="1599307" cy="959584"/>
      </dsp:txXfrm>
    </dsp:sp>
    <dsp:sp modelId="{0E6EE4C4-FD73-4C3C-848D-FFD6F13BF2A2}">
      <dsp:nvSpPr>
        <dsp:cNvPr id="0" name=""/>
        <dsp:cNvSpPr/>
      </dsp:nvSpPr>
      <dsp:spPr>
        <a:xfrm>
          <a:off x="3702784" y="2239922"/>
          <a:ext cx="1599307" cy="959584"/>
        </a:xfrm>
        <a:prstGeom prst="rect">
          <a:avLst/>
        </a:prstGeom>
        <a:solidFill>
          <a:schemeClr val="accent4">
            <a:shade val="80000"/>
            <a:hueOff val="0"/>
            <a:satOff val="0"/>
            <a:lumOff val="2496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kern="1200"/>
            <a:t>Andre risikoer (inkl. makro)</a:t>
          </a:r>
        </a:p>
      </dsp:txBody>
      <dsp:txXfrm>
        <a:off x="3702784" y="2239922"/>
        <a:ext cx="1599307" cy="95958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AC1ED8-985C-49BF-8191-BB7633A0AA9D}">
      <dsp:nvSpPr>
        <dsp:cNvPr id="0" name=""/>
        <dsp:cNvSpPr/>
      </dsp:nvSpPr>
      <dsp:spPr>
        <a:xfrm>
          <a:off x="1426071" y="395494"/>
          <a:ext cx="2634257" cy="2634257"/>
        </a:xfrm>
        <a:prstGeom prst="blockArc">
          <a:avLst>
            <a:gd name="adj1" fmla="val 11880000"/>
            <a:gd name="adj2" fmla="val 16200000"/>
            <a:gd name="adj3" fmla="val 4644"/>
          </a:avLst>
        </a:prstGeom>
        <a:solidFill>
          <a:schemeClr val="accent3">
            <a:hueOff val="0"/>
            <a:satOff val="0"/>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3FE6DD-3D9B-430B-9BF5-C01B5835F0A4}">
      <dsp:nvSpPr>
        <dsp:cNvPr id="0" name=""/>
        <dsp:cNvSpPr/>
      </dsp:nvSpPr>
      <dsp:spPr>
        <a:xfrm>
          <a:off x="1426071" y="395494"/>
          <a:ext cx="2634257" cy="2634257"/>
        </a:xfrm>
        <a:prstGeom prst="blockArc">
          <a:avLst>
            <a:gd name="adj1" fmla="val 7560000"/>
            <a:gd name="adj2" fmla="val 11880000"/>
            <a:gd name="adj3" fmla="val 4644"/>
          </a:avLst>
        </a:prstGeom>
        <a:solidFill>
          <a:schemeClr val="accent3">
            <a:hueOff val="0"/>
            <a:satOff val="0"/>
            <a:lumOff val="-647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310C21-1770-44BC-9D7D-D58BB5419910}">
      <dsp:nvSpPr>
        <dsp:cNvPr id="0" name=""/>
        <dsp:cNvSpPr/>
      </dsp:nvSpPr>
      <dsp:spPr>
        <a:xfrm>
          <a:off x="1426071" y="395494"/>
          <a:ext cx="2634257" cy="2634257"/>
        </a:xfrm>
        <a:prstGeom prst="blockArc">
          <a:avLst>
            <a:gd name="adj1" fmla="val 3240000"/>
            <a:gd name="adj2" fmla="val 7560000"/>
            <a:gd name="adj3" fmla="val 4644"/>
          </a:avLst>
        </a:prstGeom>
        <a:solidFill>
          <a:schemeClr val="accent3">
            <a:hueOff val="0"/>
            <a:satOff val="0"/>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FB7BA5-6846-4EC6-937B-5EEA249F1B17}">
      <dsp:nvSpPr>
        <dsp:cNvPr id="0" name=""/>
        <dsp:cNvSpPr/>
      </dsp:nvSpPr>
      <dsp:spPr>
        <a:xfrm>
          <a:off x="1426071" y="395494"/>
          <a:ext cx="2634257" cy="2634257"/>
        </a:xfrm>
        <a:prstGeom prst="blockArc">
          <a:avLst>
            <a:gd name="adj1" fmla="val 20520000"/>
            <a:gd name="adj2" fmla="val 3240000"/>
            <a:gd name="adj3" fmla="val 4644"/>
          </a:avLst>
        </a:prstGeom>
        <a:solidFill>
          <a:schemeClr val="accent3">
            <a:hueOff val="0"/>
            <a:satOff val="0"/>
            <a:lumOff val="-215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A9A867-F573-44D8-872A-C54CE9F8C363}">
      <dsp:nvSpPr>
        <dsp:cNvPr id="0" name=""/>
        <dsp:cNvSpPr/>
      </dsp:nvSpPr>
      <dsp:spPr>
        <a:xfrm>
          <a:off x="1426071" y="395494"/>
          <a:ext cx="2634257" cy="2634257"/>
        </a:xfrm>
        <a:prstGeom prst="blockArc">
          <a:avLst>
            <a:gd name="adj1" fmla="val 16200000"/>
            <a:gd name="adj2" fmla="val 20520000"/>
            <a:gd name="adj3" fmla="val 4644"/>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D9DD2D-7EE7-4107-B022-4B352FDE83F4}">
      <dsp:nvSpPr>
        <dsp:cNvPr id="0" name=""/>
        <dsp:cNvSpPr/>
      </dsp:nvSpPr>
      <dsp:spPr>
        <a:xfrm>
          <a:off x="2136427" y="1105851"/>
          <a:ext cx="1213544" cy="121354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nb-NO" sz="900" kern="1200"/>
            <a:t>Konsentrasjons-risiko</a:t>
          </a:r>
        </a:p>
      </dsp:txBody>
      <dsp:txXfrm>
        <a:off x="2314146" y="1283570"/>
        <a:ext cx="858106" cy="858106"/>
      </dsp:txXfrm>
    </dsp:sp>
    <dsp:sp modelId="{BDFABC62-DB85-4648-812E-010C5310F8E0}">
      <dsp:nvSpPr>
        <dsp:cNvPr id="0" name=""/>
        <dsp:cNvSpPr/>
      </dsp:nvSpPr>
      <dsp:spPr>
        <a:xfrm>
          <a:off x="2318459" y="1335"/>
          <a:ext cx="849481" cy="84948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nb-NO" sz="900" kern="1200"/>
            <a:t>Kunde</a:t>
          </a:r>
        </a:p>
      </dsp:txBody>
      <dsp:txXfrm>
        <a:off x="2442863" y="125739"/>
        <a:ext cx="600673" cy="600673"/>
      </dsp:txXfrm>
    </dsp:sp>
    <dsp:sp modelId="{FEDFDD51-B60A-48A1-B5CD-F5DF752F5A14}">
      <dsp:nvSpPr>
        <dsp:cNvPr id="0" name=""/>
        <dsp:cNvSpPr/>
      </dsp:nvSpPr>
      <dsp:spPr>
        <a:xfrm>
          <a:off x="3542038" y="890317"/>
          <a:ext cx="849481" cy="849481"/>
        </a:xfrm>
        <a:prstGeom prst="ellipse">
          <a:avLst/>
        </a:prstGeom>
        <a:solidFill>
          <a:schemeClr val="accent3">
            <a:hueOff val="0"/>
            <a:satOff val="0"/>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nb-NO" sz="900" kern="1200"/>
            <a:t>Produkt / formål</a:t>
          </a:r>
        </a:p>
      </dsp:txBody>
      <dsp:txXfrm>
        <a:off x="3666442" y="1014721"/>
        <a:ext cx="600673" cy="600673"/>
      </dsp:txXfrm>
    </dsp:sp>
    <dsp:sp modelId="{69B6CF14-4FB5-4D73-9292-AEEE56033C4F}">
      <dsp:nvSpPr>
        <dsp:cNvPr id="0" name=""/>
        <dsp:cNvSpPr/>
      </dsp:nvSpPr>
      <dsp:spPr>
        <a:xfrm>
          <a:off x="3074673" y="2328721"/>
          <a:ext cx="849481" cy="849481"/>
        </a:xfrm>
        <a:prstGeom prst="ellipse">
          <a:avLst/>
        </a:prstGeom>
        <a:solidFill>
          <a:schemeClr val="accent3">
            <a:hueOff val="0"/>
            <a:satOff val="0"/>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nb-NO" sz="900" kern="1200"/>
            <a:t>Geografi</a:t>
          </a:r>
        </a:p>
      </dsp:txBody>
      <dsp:txXfrm>
        <a:off x="3199077" y="2453125"/>
        <a:ext cx="600673" cy="600673"/>
      </dsp:txXfrm>
    </dsp:sp>
    <dsp:sp modelId="{600CC461-ED1E-41AA-8A2E-2CC922BB8179}">
      <dsp:nvSpPr>
        <dsp:cNvPr id="0" name=""/>
        <dsp:cNvSpPr/>
      </dsp:nvSpPr>
      <dsp:spPr>
        <a:xfrm>
          <a:off x="1562245" y="2328721"/>
          <a:ext cx="849481" cy="849481"/>
        </a:xfrm>
        <a:prstGeom prst="ellipse">
          <a:avLst/>
        </a:prstGeom>
        <a:solidFill>
          <a:schemeClr val="accent3">
            <a:hueOff val="0"/>
            <a:satOff val="0"/>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nb-NO" sz="900" kern="1200"/>
            <a:t>Store eng.</a:t>
          </a:r>
        </a:p>
      </dsp:txBody>
      <dsp:txXfrm>
        <a:off x="1686649" y="2453125"/>
        <a:ext cx="600673" cy="600673"/>
      </dsp:txXfrm>
    </dsp:sp>
    <dsp:sp modelId="{F1D494BD-217F-4C50-8454-E28400145034}">
      <dsp:nvSpPr>
        <dsp:cNvPr id="0" name=""/>
        <dsp:cNvSpPr/>
      </dsp:nvSpPr>
      <dsp:spPr>
        <a:xfrm>
          <a:off x="1094880" y="890317"/>
          <a:ext cx="849481" cy="849481"/>
        </a:xfrm>
        <a:prstGeom prst="ellipse">
          <a:avLst/>
        </a:prstGeom>
        <a:solidFill>
          <a:schemeClr val="accent3">
            <a:hueOff val="0"/>
            <a:satOff val="0"/>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nb-NO" sz="900" kern="1200"/>
            <a:t>Bransje / næring</a:t>
          </a:r>
        </a:p>
      </dsp:txBody>
      <dsp:txXfrm>
        <a:off x="1219284" y="1014721"/>
        <a:ext cx="600673" cy="6006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0.78333</cdr:x>
      <cdr:y>0.26211</cdr:y>
    </cdr:from>
    <cdr:to>
      <cdr:x>0.80132</cdr:x>
      <cdr:y>0.76339</cdr:y>
    </cdr:to>
    <cdr:sp macro="" textlink="">
      <cdr:nvSpPr>
        <cdr:cNvPr id="7" name="Høyre klammeparentes 6"/>
        <cdr:cNvSpPr/>
      </cdr:nvSpPr>
      <cdr:spPr>
        <a:xfrm xmlns:a="http://schemas.openxmlformats.org/drawingml/2006/main">
          <a:off x="3581400" y="1133475"/>
          <a:ext cx="82235" cy="2167691"/>
        </a:xfrm>
        <a:prstGeom xmlns:a="http://schemas.openxmlformats.org/drawingml/2006/main" prst="rightBrace">
          <a:avLst/>
        </a:prstGeom>
        <a:ln xmlns:a="http://schemas.openxmlformats.org/drawingml/2006/main" w="22225">
          <a:solidFill>
            <a:srgbClr val="0070C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nb-NO"/>
        </a:p>
      </cdr:txBody>
    </cdr:sp>
  </cdr:relSizeAnchor>
  <cdr:relSizeAnchor xmlns:cdr="http://schemas.openxmlformats.org/drawingml/2006/chartDrawing">
    <cdr:from>
      <cdr:x>0.80182</cdr:x>
      <cdr:y>0.38516</cdr:y>
    </cdr:from>
    <cdr:to>
      <cdr:x>0.85625</cdr:x>
      <cdr:y>0.6351</cdr:y>
    </cdr:to>
    <cdr:sp macro="" textlink="">
      <cdr:nvSpPr>
        <cdr:cNvPr id="15" name="TekstSylinder 1"/>
        <cdr:cNvSpPr txBox="1"/>
      </cdr:nvSpPr>
      <cdr:spPr>
        <a:xfrm xmlns:a="http://schemas.openxmlformats.org/drawingml/2006/main" rot="5400000">
          <a:off x="3249943" y="2081555"/>
          <a:ext cx="1080809" cy="248851"/>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nb-NO" sz="1000"/>
            <a:t>Ren</a:t>
          </a:r>
          <a:r>
            <a:rPr lang="nb-NO" sz="1000" baseline="0"/>
            <a:t> kjerne   11 %</a:t>
          </a:r>
          <a:endParaRPr lang="nb-NO" sz="1000"/>
        </a:p>
      </cdr:txBody>
    </cdr:sp>
  </cdr:relSizeAnchor>
  <cdr:relSizeAnchor xmlns:cdr="http://schemas.openxmlformats.org/drawingml/2006/chartDrawing">
    <cdr:from>
      <cdr:x>0.86875</cdr:x>
      <cdr:y>0.31498</cdr:y>
    </cdr:from>
    <cdr:to>
      <cdr:x>0.9125</cdr:x>
      <cdr:y>0.78414</cdr:y>
    </cdr:to>
    <cdr:sp macro="" textlink="">
      <cdr:nvSpPr>
        <cdr:cNvPr id="14" name="TekstSylinder 1"/>
        <cdr:cNvSpPr txBox="1"/>
      </cdr:nvSpPr>
      <cdr:spPr>
        <a:xfrm xmlns:a="http://schemas.openxmlformats.org/drawingml/2006/main" rot="5400000">
          <a:off x="3057524" y="2276478"/>
          <a:ext cx="2028828" cy="20002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nb-NO" sz="1000" baseline="0"/>
            <a:t>Kjerne kapital 12,5 %</a:t>
          </a:r>
          <a:endParaRPr lang="nb-NO" sz="1000"/>
        </a:p>
      </cdr:txBody>
    </cdr:sp>
  </cdr:relSizeAnchor>
  <cdr:relSizeAnchor xmlns:cdr="http://schemas.openxmlformats.org/drawingml/2006/chartDrawing">
    <cdr:from>
      <cdr:x>0.89583</cdr:x>
      <cdr:y>0.10793</cdr:y>
    </cdr:from>
    <cdr:to>
      <cdr:x>0.92841</cdr:x>
      <cdr:y>0.7678</cdr:y>
    </cdr:to>
    <cdr:sp macro="" textlink="">
      <cdr:nvSpPr>
        <cdr:cNvPr id="16" name="Høyre klammeparentes 15"/>
        <cdr:cNvSpPr/>
      </cdr:nvSpPr>
      <cdr:spPr>
        <a:xfrm xmlns:a="http://schemas.openxmlformats.org/drawingml/2006/main">
          <a:off x="4095750" y="466725"/>
          <a:ext cx="148941" cy="2853511"/>
        </a:xfrm>
        <a:prstGeom xmlns:a="http://schemas.openxmlformats.org/drawingml/2006/main" prst="rightBrace">
          <a:avLst/>
        </a:prstGeom>
        <a:noFill xmlns:a="http://schemas.openxmlformats.org/drawingml/2006/main"/>
        <a:ln xmlns:a="http://schemas.openxmlformats.org/drawingml/2006/main" w="222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wrap="square"/>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nb-NO"/>
        </a:p>
      </cdr:txBody>
    </cdr:sp>
  </cdr:relSizeAnchor>
  <cdr:relSizeAnchor xmlns:cdr="http://schemas.openxmlformats.org/drawingml/2006/chartDrawing">
    <cdr:from>
      <cdr:x>0.93125</cdr:x>
      <cdr:y>0.22687</cdr:y>
    </cdr:from>
    <cdr:to>
      <cdr:x>0.975</cdr:x>
      <cdr:y>0.69603</cdr:y>
    </cdr:to>
    <cdr:sp macro="" textlink="">
      <cdr:nvSpPr>
        <cdr:cNvPr id="9" name="TekstSylinder 1"/>
        <cdr:cNvSpPr txBox="1"/>
      </cdr:nvSpPr>
      <cdr:spPr>
        <a:xfrm xmlns:a="http://schemas.openxmlformats.org/drawingml/2006/main" rot="5400000">
          <a:off x="3343282" y="1895479"/>
          <a:ext cx="2028812" cy="20002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nb-NO" sz="1000" baseline="0"/>
            <a:t>Ansvarlig kapital 14,5 %</a:t>
          </a:r>
          <a:endParaRPr lang="nb-NO" sz="1000"/>
        </a:p>
      </cdr:txBody>
    </cdr:sp>
  </cdr:relSizeAnchor>
</c:userShapes>
</file>

<file path=word/theme/theme1.xml><?xml version="1.0" encoding="utf-8"?>
<a:theme xmlns:a="http://schemas.openxmlformats.org/drawingml/2006/main" name="Office-tema">
  <a:themeElements>
    <a:clrScheme name="Gråton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klassis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051E1-C85D-4F49-8409-FD8993D6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D57D197C.dotm</Template>
  <TotalTime>4858</TotalTime>
  <Pages>1</Pages>
  <Words>7067</Words>
  <Characters>37460</Characters>
  <Application>Microsoft Office Word</Application>
  <DocSecurity>0</DocSecurity>
  <Lines>312</Lines>
  <Paragraphs>88</Paragraphs>
  <ScaleCrop>false</ScaleCrop>
  <HeadingPairs>
    <vt:vector size="2" baseType="variant">
      <vt:variant>
        <vt:lpstr>Tittel</vt:lpstr>
      </vt:variant>
      <vt:variant>
        <vt:i4>1</vt:i4>
      </vt:variant>
    </vt:vector>
  </HeadingPairs>
  <TitlesOfParts>
    <vt:vector size="1" baseType="lpstr">
      <vt:lpstr/>
    </vt:vector>
  </TitlesOfParts>
  <Company>Sandnes Sparebank</Company>
  <LinksUpToDate>false</LinksUpToDate>
  <CharactersWithSpaces>44439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Sandnes Sparebank</dc:creator>
  <cp:keywords/>
  <dc:description/>
  <cp:lastModifiedBy>Høines, Owe</cp:lastModifiedBy>
  <cp:revision>143</cp:revision>
  <cp:lastPrinted>2011-08-25T09:21:00Z</cp:lastPrinted>
  <dcterms:created xsi:type="dcterms:W3CDTF">2013-06-17T09:40:00Z</dcterms:created>
  <dcterms:modified xsi:type="dcterms:W3CDTF">2014-05-30T07:20:00Z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-1525310563</vt:i4>
  </property>
</Properties>
</file>